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076C8B" w14:textId="259631A2" w:rsidR="00416F73" w:rsidRDefault="00416F73" w:rsidP="009A4CF3">
      <w:pPr>
        <w:spacing w:after="120" w:line="240" w:lineRule="auto"/>
        <w:jc w:val="center"/>
        <w:rPr>
          <w:rFonts w:ascii="Verdana" w:hAnsi="Verdana" w:cs="Times New Roman"/>
          <w:b/>
          <w:sz w:val="24"/>
          <w:szCs w:val="24"/>
        </w:rPr>
      </w:pPr>
      <w:r>
        <w:rPr>
          <w:rFonts w:ascii="Verdana" w:hAnsi="Verdana" w:cs="Times New Roman"/>
          <w:b/>
          <w:noProof/>
          <w:sz w:val="24"/>
          <w:szCs w:val="24"/>
        </w:rPr>
        <w:drawing>
          <wp:inline distT="0" distB="0" distL="0" distR="0" wp14:anchorId="56FAE653" wp14:editId="7246EA44">
            <wp:extent cx="1945005" cy="3536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5005" cy="353695"/>
                    </a:xfrm>
                    <a:prstGeom prst="rect">
                      <a:avLst/>
                    </a:prstGeom>
                    <a:noFill/>
                  </pic:spPr>
                </pic:pic>
              </a:graphicData>
            </a:graphic>
          </wp:inline>
        </w:drawing>
      </w:r>
    </w:p>
    <w:p w14:paraId="7AAD01B9" w14:textId="6394FA77" w:rsidR="00416F73" w:rsidRDefault="00416F73" w:rsidP="00416F73">
      <w:pPr>
        <w:spacing w:after="120" w:line="240" w:lineRule="auto"/>
        <w:rPr>
          <w:rFonts w:ascii="Verdana" w:hAnsi="Verdana" w:cs="Times New Roman"/>
          <w:b/>
          <w:sz w:val="24"/>
          <w:szCs w:val="24"/>
        </w:rPr>
      </w:pPr>
      <w:bookmarkStart w:id="0" w:name="_GoBack"/>
      <w:bookmarkEnd w:id="0"/>
    </w:p>
    <w:p w14:paraId="5FA402C7" w14:textId="2A9A4099" w:rsidR="00477A23" w:rsidRPr="00E477CA" w:rsidRDefault="00477A23" w:rsidP="009A4CF3">
      <w:pPr>
        <w:spacing w:after="120" w:line="240" w:lineRule="auto"/>
        <w:jc w:val="center"/>
        <w:rPr>
          <w:rFonts w:ascii="Verdana" w:hAnsi="Verdana" w:cs="Times New Roman"/>
          <w:b/>
          <w:sz w:val="24"/>
          <w:szCs w:val="24"/>
        </w:rPr>
      </w:pPr>
      <w:r w:rsidRPr="00E477CA">
        <w:rPr>
          <w:rFonts w:ascii="Verdana" w:hAnsi="Verdana" w:cs="Times New Roman"/>
          <w:b/>
          <w:sz w:val="24"/>
          <w:szCs w:val="24"/>
        </w:rPr>
        <w:t>Raising Capital for Real Estate Investors</w:t>
      </w:r>
    </w:p>
    <w:p w14:paraId="2159D7FB" w14:textId="5B724958" w:rsidR="00477A23" w:rsidRPr="00E477CA" w:rsidRDefault="00477A23" w:rsidP="009A4CF3">
      <w:pPr>
        <w:spacing w:after="120" w:line="240" w:lineRule="auto"/>
        <w:jc w:val="center"/>
        <w:rPr>
          <w:rFonts w:ascii="Verdana" w:hAnsi="Verdana" w:cs="Times New Roman"/>
          <w:b/>
          <w:sz w:val="24"/>
          <w:szCs w:val="24"/>
        </w:rPr>
      </w:pPr>
      <w:r w:rsidRPr="00E477CA">
        <w:rPr>
          <w:rFonts w:ascii="Verdana" w:hAnsi="Verdana" w:cs="Times New Roman"/>
          <w:b/>
          <w:sz w:val="24"/>
          <w:szCs w:val="24"/>
        </w:rPr>
        <w:t>Comparison  Chart</w:t>
      </w:r>
    </w:p>
    <w:p w14:paraId="1F9C7A36" w14:textId="398A7B9D" w:rsidR="007C7279" w:rsidRPr="00E477CA" w:rsidRDefault="00477A23" w:rsidP="009A4CF3">
      <w:pPr>
        <w:spacing w:after="120" w:line="240" w:lineRule="auto"/>
        <w:jc w:val="center"/>
        <w:rPr>
          <w:rFonts w:ascii="Verdana" w:hAnsi="Verdana" w:cs="Times New Roman"/>
          <w:b/>
          <w:sz w:val="24"/>
          <w:szCs w:val="24"/>
        </w:rPr>
      </w:pPr>
      <w:r w:rsidRPr="00E477CA">
        <w:rPr>
          <w:rFonts w:ascii="Verdana" w:hAnsi="Verdana" w:cs="Times New Roman"/>
          <w:b/>
          <w:sz w:val="24"/>
          <w:szCs w:val="24"/>
        </w:rPr>
        <w:t xml:space="preserve">Regulation D Rule </w:t>
      </w:r>
      <w:r w:rsidR="007E2EF1" w:rsidRPr="00E477CA">
        <w:rPr>
          <w:rFonts w:ascii="Verdana" w:hAnsi="Verdana" w:cs="Times New Roman"/>
          <w:b/>
          <w:sz w:val="24"/>
          <w:szCs w:val="24"/>
        </w:rPr>
        <w:t xml:space="preserve">506(b) vs </w:t>
      </w:r>
      <w:r w:rsidRPr="00E477CA">
        <w:rPr>
          <w:rFonts w:ascii="Verdana" w:hAnsi="Verdana" w:cs="Times New Roman"/>
          <w:b/>
          <w:sz w:val="24"/>
          <w:szCs w:val="24"/>
        </w:rPr>
        <w:t xml:space="preserve">Regulation D Rule </w:t>
      </w:r>
      <w:r w:rsidR="007E2EF1" w:rsidRPr="00E477CA">
        <w:rPr>
          <w:rFonts w:ascii="Verdana" w:hAnsi="Verdana" w:cs="Times New Roman"/>
          <w:b/>
          <w:sz w:val="24"/>
          <w:szCs w:val="24"/>
        </w:rPr>
        <w:t>506(c)</w:t>
      </w:r>
    </w:p>
    <w:p w14:paraId="0D2076B2" w14:textId="77777777" w:rsidR="009A4CF3" w:rsidRPr="00E477CA" w:rsidRDefault="009A4CF3" w:rsidP="009A4CF3">
      <w:pPr>
        <w:spacing w:after="120" w:line="240" w:lineRule="auto"/>
        <w:jc w:val="center"/>
        <w:rPr>
          <w:rFonts w:ascii="Verdana" w:hAnsi="Verdana" w:cs="Times New Roman"/>
          <w:b/>
          <w:i/>
          <w:sz w:val="24"/>
          <w:szCs w:val="24"/>
        </w:rPr>
      </w:pPr>
      <w:r w:rsidRPr="00E477CA">
        <w:rPr>
          <w:rFonts w:ascii="Verdana" w:hAnsi="Verdana" w:cs="Times New Roman"/>
          <w:b/>
          <w:i/>
          <w:sz w:val="24"/>
          <w:szCs w:val="24"/>
        </w:rPr>
        <w:t>by Jason Powell, Esq.</w:t>
      </w:r>
    </w:p>
    <w:tbl>
      <w:tblPr>
        <w:tblStyle w:val="TableGrid"/>
        <w:tblW w:w="0" w:type="auto"/>
        <w:jc w:val="center"/>
        <w:tblLook w:val="04A0" w:firstRow="1" w:lastRow="0" w:firstColumn="1" w:lastColumn="0" w:noHBand="0" w:noVBand="1"/>
      </w:tblPr>
      <w:tblGrid>
        <w:gridCol w:w="2630"/>
        <w:gridCol w:w="3400"/>
        <w:gridCol w:w="2973"/>
      </w:tblGrid>
      <w:tr w:rsidR="007E2EF1" w:rsidRPr="00E477CA" w14:paraId="1F9C7A3A" w14:textId="77777777" w:rsidTr="00F87AA6">
        <w:trPr>
          <w:jc w:val="center"/>
        </w:trPr>
        <w:tc>
          <w:tcPr>
            <w:tcW w:w="2630" w:type="dxa"/>
            <w:shd w:val="clear" w:color="auto" w:fill="F2F2F2" w:themeFill="background1" w:themeFillShade="F2"/>
          </w:tcPr>
          <w:p w14:paraId="1F9C7A37" w14:textId="77777777" w:rsidR="007E2EF1" w:rsidRPr="00E477CA" w:rsidRDefault="007E2EF1" w:rsidP="00B34410">
            <w:pPr>
              <w:spacing w:after="120"/>
              <w:jc w:val="center"/>
              <w:rPr>
                <w:rFonts w:ascii="Verdana" w:hAnsi="Verdana" w:cs="Times New Roman"/>
                <w:b/>
                <w:sz w:val="20"/>
                <w:szCs w:val="20"/>
              </w:rPr>
            </w:pPr>
          </w:p>
        </w:tc>
        <w:tc>
          <w:tcPr>
            <w:tcW w:w="3400" w:type="dxa"/>
            <w:shd w:val="clear" w:color="auto" w:fill="F2F2F2" w:themeFill="background1" w:themeFillShade="F2"/>
          </w:tcPr>
          <w:p w14:paraId="1F9C7A38" w14:textId="77777777" w:rsidR="007E2EF1" w:rsidRPr="00E477CA" w:rsidRDefault="007E2EF1" w:rsidP="00B34410">
            <w:pPr>
              <w:spacing w:after="120"/>
              <w:jc w:val="center"/>
              <w:rPr>
                <w:rFonts w:ascii="Verdana" w:hAnsi="Verdana" w:cs="Times New Roman"/>
                <w:sz w:val="20"/>
                <w:szCs w:val="20"/>
              </w:rPr>
            </w:pPr>
            <w:r w:rsidRPr="00E477CA">
              <w:rPr>
                <w:rFonts w:ascii="Verdana" w:hAnsi="Verdana" w:cs="Times New Roman"/>
                <w:b/>
                <w:sz w:val="20"/>
                <w:szCs w:val="20"/>
              </w:rPr>
              <w:t>Rule 506(b)</w:t>
            </w:r>
          </w:p>
        </w:tc>
        <w:tc>
          <w:tcPr>
            <w:tcW w:w="2973" w:type="dxa"/>
            <w:shd w:val="clear" w:color="auto" w:fill="F2F2F2" w:themeFill="background1" w:themeFillShade="F2"/>
          </w:tcPr>
          <w:p w14:paraId="1F9C7A39" w14:textId="77777777" w:rsidR="007E2EF1" w:rsidRPr="00E477CA" w:rsidRDefault="007E2EF1" w:rsidP="00B34410">
            <w:pPr>
              <w:spacing w:after="120"/>
              <w:jc w:val="center"/>
              <w:rPr>
                <w:rFonts w:ascii="Verdana" w:hAnsi="Verdana" w:cs="Times New Roman"/>
                <w:b/>
                <w:sz w:val="20"/>
                <w:szCs w:val="20"/>
              </w:rPr>
            </w:pPr>
            <w:r w:rsidRPr="00E477CA">
              <w:rPr>
                <w:rFonts w:ascii="Verdana" w:hAnsi="Verdana" w:cs="Times New Roman"/>
                <w:b/>
                <w:sz w:val="20"/>
                <w:szCs w:val="20"/>
              </w:rPr>
              <w:t>Rule 506(c)</w:t>
            </w:r>
          </w:p>
        </w:tc>
      </w:tr>
      <w:tr w:rsidR="007E2EF1" w:rsidRPr="00E477CA" w14:paraId="1F9C7A3E" w14:textId="77777777" w:rsidTr="00F87AA6">
        <w:trPr>
          <w:jc w:val="center"/>
        </w:trPr>
        <w:tc>
          <w:tcPr>
            <w:tcW w:w="2630" w:type="dxa"/>
            <w:shd w:val="clear" w:color="auto" w:fill="F2F2F2" w:themeFill="background1" w:themeFillShade="F2"/>
          </w:tcPr>
          <w:p w14:paraId="1F9C7A3B" w14:textId="77777777" w:rsidR="007E2EF1" w:rsidRPr="00E477CA" w:rsidRDefault="007E2EF1" w:rsidP="00B34410">
            <w:pPr>
              <w:spacing w:after="120"/>
              <w:jc w:val="center"/>
              <w:rPr>
                <w:rFonts w:ascii="Verdana" w:hAnsi="Verdana" w:cs="Times New Roman"/>
                <w:b/>
                <w:sz w:val="20"/>
                <w:szCs w:val="20"/>
              </w:rPr>
            </w:pPr>
            <w:r w:rsidRPr="00E477CA">
              <w:rPr>
                <w:rFonts w:ascii="Verdana" w:hAnsi="Verdana" w:cs="Times New Roman"/>
                <w:b/>
                <w:sz w:val="20"/>
                <w:szCs w:val="20"/>
              </w:rPr>
              <w:t>Dollar Limit:</w:t>
            </w:r>
          </w:p>
        </w:tc>
        <w:tc>
          <w:tcPr>
            <w:tcW w:w="3400" w:type="dxa"/>
          </w:tcPr>
          <w:p w14:paraId="1F9C7A3C" w14:textId="77777777" w:rsidR="007E2EF1" w:rsidRPr="00E477CA" w:rsidRDefault="007E2EF1" w:rsidP="00B34410">
            <w:pPr>
              <w:spacing w:after="120"/>
              <w:rPr>
                <w:rFonts w:ascii="Verdana" w:hAnsi="Verdana" w:cs="Times New Roman"/>
                <w:sz w:val="20"/>
                <w:szCs w:val="20"/>
              </w:rPr>
            </w:pPr>
            <w:r w:rsidRPr="00E477CA">
              <w:rPr>
                <w:rFonts w:ascii="Verdana" w:hAnsi="Verdana" w:cs="Times New Roman"/>
                <w:sz w:val="20"/>
                <w:szCs w:val="20"/>
              </w:rPr>
              <w:t>No limit</w:t>
            </w:r>
          </w:p>
        </w:tc>
        <w:tc>
          <w:tcPr>
            <w:tcW w:w="2973" w:type="dxa"/>
          </w:tcPr>
          <w:p w14:paraId="1F9C7A3D" w14:textId="77777777" w:rsidR="007E2EF1" w:rsidRPr="00E477CA" w:rsidRDefault="007E2EF1" w:rsidP="00B34410">
            <w:pPr>
              <w:spacing w:after="120"/>
              <w:rPr>
                <w:rFonts w:ascii="Verdana" w:hAnsi="Verdana" w:cs="Times New Roman"/>
                <w:sz w:val="20"/>
                <w:szCs w:val="20"/>
              </w:rPr>
            </w:pPr>
            <w:r w:rsidRPr="00E477CA">
              <w:rPr>
                <w:rFonts w:ascii="Verdana" w:hAnsi="Verdana" w:cs="Times New Roman"/>
                <w:sz w:val="20"/>
                <w:szCs w:val="20"/>
              </w:rPr>
              <w:t>No limit</w:t>
            </w:r>
          </w:p>
        </w:tc>
      </w:tr>
      <w:tr w:rsidR="007E2EF1" w:rsidRPr="00E477CA" w14:paraId="1F9C7A42" w14:textId="77777777" w:rsidTr="00F87AA6">
        <w:trPr>
          <w:jc w:val="center"/>
        </w:trPr>
        <w:tc>
          <w:tcPr>
            <w:tcW w:w="2630" w:type="dxa"/>
            <w:shd w:val="clear" w:color="auto" w:fill="F2F2F2" w:themeFill="background1" w:themeFillShade="F2"/>
          </w:tcPr>
          <w:p w14:paraId="1F9C7A3F" w14:textId="77777777" w:rsidR="007E2EF1" w:rsidRPr="00E477CA" w:rsidRDefault="007E2EF1" w:rsidP="00B34410">
            <w:pPr>
              <w:spacing w:after="120"/>
              <w:jc w:val="center"/>
              <w:rPr>
                <w:rFonts w:ascii="Verdana" w:hAnsi="Verdana" w:cs="Times New Roman"/>
                <w:b/>
                <w:sz w:val="20"/>
                <w:szCs w:val="20"/>
              </w:rPr>
            </w:pPr>
            <w:r w:rsidRPr="00E477CA">
              <w:rPr>
                <w:rFonts w:ascii="Verdana" w:hAnsi="Verdana" w:cs="Times New Roman"/>
                <w:b/>
                <w:sz w:val="20"/>
                <w:szCs w:val="20"/>
              </w:rPr>
              <w:t>Manner of Offering:</w:t>
            </w:r>
          </w:p>
        </w:tc>
        <w:tc>
          <w:tcPr>
            <w:tcW w:w="3400" w:type="dxa"/>
          </w:tcPr>
          <w:p w14:paraId="1F9C7A40" w14:textId="66466BAE" w:rsidR="007E2EF1" w:rsidRPr="00E477CA" w:rsidRDefault="007E2EF1" w:rsidP="00B34410">
            <w:pPr>
              <w:spacing w:after="120"/>
              <w:rPr>
                <w:rFonts w:ascii="Verdana" w:hAnsi="Verdana" w:cs="Times New Roman"/>
                <w:sz w:val="20"/>
                <w:szCs w:val="20"/>
              </w:rPr>
            </w:pPr>
            <w:r w:rsidRPr="00E477CA">
              <w:rPr>
                <w:rFonts w:ascii="Verdana" w:hAnsi="Verdana" w:cs="Times New Roman"/>
                <w:sz w:val="20"/>
                <w:szCs w:val="20"/>
              </w:rPr>
              <w:t>Limited marketing directly to known investors without “general solicitation” (substantial pre-existing relationship); no internet solicitation (although online intermediaries may be</w:t>
            </w:r>
            <w:r w:rsidR="00477A23" w:rsidRPr="00E477CA">
              <w:rPr>
                <w:rFonts w:ascii="Verdana" w:hAnsi="Verdana" w:cs="Times New Roman"/>
                <w:sz w:val="20"/>
                <w:szCs w:val="20"/>
              </w:rPr>
              <w:t xml:space="preserve"> </w:t>
            </w:r>
            <w:r w:rsidRPr="00E477CA">
              <w:rPr>
                <w:rFonts w:ascii="Verdana" w:hAnsi="Verdana" w:cs="Times New Roman"/>
                <w:sz w:val="20"/>
                <w:szCs w:val="20"/>
              </w:rPr>
              <w:t>used)</w:t>
            </w:r>
          </w:p>
        </w:tc>
        <w:tc>
          <w:tcPr>
            <w:tcW w:w="2973" w:type="dxa"/>
          </w:tcPr>
          <w:p w14:paraId="1F9C7A41" w14:textId="77777777" w:rsidR="007E2EF1" w:rsidRPr="00E477CA" w:rsidRDefault="007E2EF1" w:rsidP="00B34410">
            <w:pPr>
              <w:spacing w:after="120"/>
              <w:rPr>
                <w:rFonts w:ascii="Verdana" w:hAnsi="Verdana" w:cs="Times New Roman"/>
                <w:sz w:val="20"/>
                <w:szCs w:val="20"/>
              </w:rPr>
            </w:pPr>
            <w:r w:rsidRPr="00E477CA">
              <w:rPr>
                <w:rFonts w:ascii="Verdana" w:hAnsi="Verdana" w:cs="Times New Roman"/>
                <w:sz w:val="20"/>
                <w:szCs w:val="20"/>
              </w:rPr>
              <w:t>No limitations on solicitation, can be marketed over the internet; TV, advertisements and solicitation on social media permitted</w:t>
            </w:r>
          </w:p>
        </w:tc>
      </w:tr>
      <w:tr w:rsidR="007E2EF1" w:rsidRPr="00E477CA" w14:paraId="1F9C7A46" w14:textId="77777777" w:rsidTr="00F87AA6">
        <w:trPr>
          <w:jc w:val="center"/>
        </w:trPr>
        <w:tc>
          <w:tcPr>
            <w:tcW w:w="2630" w:type="dxa"/>
            <w:shd w:val="clear" w:color="auto" w:fill="F2F2F2" w:themeFill="background1" w:themeFillShade="F2"/>
          </w:tcPr>
          <w:p w14:paraId="1F9C7A43" w14:textId="77777777" w:rsidR="007E2EF1" w:rsidRPr="00E477CA" w:rsidRDefault="007E2EF1" w:rsidP="00B34410">
            <w:pPr>
              <w:spacing w:after="120"/>
              <w:jc w:val="center"/>
              <w:rPr>
                <w:rFonts w:ascii="Verdana" w:hAnsi="Verdana" w:cs="Times New Roman"/>
                <w:b/>
                <w:sz w:val="20"/>
                <w:szCs w:val="20"/>
              </w:rPr>
            </w:pPr>
            <w:r w:rsidRPr="00E477CA">
              <w:rPr>
                <w:rFonts w:ascii="Verdana" w:hAnsi="Verdana" w:cs="Times New Roman"/>
                <w:b/>
                <w:sz w:val="20"/>
                <w:szCs w:val="20"/>
              </w:rPr>
              <w:t>Eligible Issuers:</w:t>
            </w:r>
          </w:p>
        </w:tc>
        <w:tc>
          <w:tcPr>
            <w:tcW w:w="3400" w:type="dxa"/>
          </w:tcPr>
          <w:p w14:paraId="1F9C7A44" w14:textId="77777777" w:rsidR="007E2EF1" w:rsidRPr="00E477CA" w:rsidRDefault="007E2EF1" w:rsidP="00B34410">
            <w:pPr>
              <w:spacing w:after="120"/>
              <w:rPr>
                <w:rFonts w:ascii="Verdana" w:hAnsi="Verdana" w:cs="Times New Roman"/>
                <w:sz w:val="20"/>
                <w:szCs w:val="20"/>
              </w:rPr>
            </w:pPr>
            <w:r w:rsidRPr="00E477CA">
              <w:rPr>
                <w:rFonts w:ascii="Verdana" w:hAnsi="Verdana" w:cs="Times New Roman"/>
                <w:sz w:val="20"/>
                <w:szCs w:val="20"/>
              </w:rPr>
              <w:t>Both SEC registered and private companies can use exemption (U.S. and foreign)</w:t>
            </w:r>
          </w:p>
        </w:tc>
        <w:tc>
          <w:tcPr>
            <w:tcW w:w="2973" w:type="dxa"/>
          </w:tcPr>
          <w:p w14:paraId="1F9C7A45" w14:textId="77777777" w:rsidR="007E2EF1" w:rsidRPr="00E477CA" w:rsidRDefault="007E2EF1" w:rsidP="00B34410">
            <w:pPr>
              <w:spacing w:after="120"/>
              <w:rPr>
                <w:rFonts w:ascii="Verdana" w:hAnsi="Verdana" w:cs="Times New Roman"/>
                <w:sz w:val="20"/>
                <w:szCs w:val="20"/>
              </w:rPr>
            </w:pPr>
            <w:r w:rsidRPr="00E477CA">
              <w:rPr>
                <w:rFonts w:ascii="Verdana" w:hAnsi="Verdana" w:cs="Times New Roman"/>
                <w:sz w:val="20"/>
                <w:szCs w:val="20"/>
              </w:rPr>
              <w:t>Both SEC registered and private companies can use exemption (U.S. and foreign)</w:t>
            </w:r>
          </w:p>
        </w:tc>
      </w:tr>
      <w:tr w:rsidR="007E2EF1" w:rsidRPr="00E477CA" w14:paraId="1F9C7A4A" w14:textId="77777777" w:rsidTr="00F87AA6">
        <w:trPr>
          <w:jc w:val="center"/>
        </w:trPr>
        <w:tc>
          <w:tcPr>
            <w:tcW w:w="2630" w:type="dxa"/>
            <w:shd w:val="clear" w:color="auto" w:fill="F2F2F2" w:themeFill="background1" w:themeFillShade="F2"/>
          </w:tcPr>
          <w:p w14:paraId="1F9C7A47" w14:textId="77777777" w:rsidR="007E2EF1" w:rsidRPr="00E477CA" w:rsidRDefault="007E2EF1" w:rsidP="00B34410">
            <w:pPr>
              <w:spacing w:after="120"/>
              <w:jc w:val="center"/>
              <w:rPr>
                <w:rFonts w:ascii="Verdana" w:hAnsi="Verdana" w:cs="Times New Roman"/>
                <w:b/>
                <w:sz w:val="20"/>
                <w:szCs w:val="20"/>
              </w:rPr>
            </w:pPr>
            <w:r w:rsidRPr="00E477CA">
              <w:rPr>
                <w:rFonts w:ascii="Verdana" w:hAnsi="Verdana" w:cs="Times New Roman"/>
                <w:b/>
                <w:sz w:val="20"/>
                <w:szCs w:val="20"/>
              </w:rPr>
              <w:t>Eligible Investors:</w:t>
            </w:r>
          </w:p>
        </w:tc>
        <w:tc>
          <w:tcPr>
            <w:tcW w:w="3400" w:type="dxa"/>
          </w:tcPr>
          <w:p w14:paraId="1F9C7A48" w14:textId="77777777" w:rsidR="007E2EF1" w:rsidRPr="00E477CA" w:rsidRDefault="007E2EF1" w:rsidP="00B34410">
            <w:pPr>
              <w:spacing w:after="120"/>
              <w:rPr>
                <w:rFonts w:ascii="Verdana" w:hAnsi="Verdana" w:cs="Times New Roman"/>
                <w:sz w:val="20"/>
                <w:szCs w:val="20"/>
              </w:rPr>
            </w:pPr>
            <w:r w:rsidRPr="00E477CA">
              <w:rPr>
                <w:rFonts w:ascii="Verdana" w:hAnsi="Verdana" w:cs="Times New Roman"/>
                <w:sz w:val="20"/>
                <w:szCs w:val="20"/>
              </w:rPr>
              <w:t>Up to 35 non-accredited investors permitted; no limits on accredited investors</w:t>
            </w:r>
          </w:p>
        </w:tc>
        <w:tc>
          <w:tcPr>
            <w:tcW w:w="2973" w:type="dxa"/>
          </w:tcPr>
          <w:p w14:paraId="1F9C7A49" w14:textId="77777777" w:rsidR="007E2EF1" w:rsidRPr="00E477CA" w:rsidRDefault="007E2EF1" w:rsidP="00B34410">
            <w:pPr>
              <w:spacing w:after="120"/>
              <w:rPr>
                <w:rFonts w:ascii="Verdana" w:hAnsi="Verdana" w:cs="Times New Roman"/>
                <w:sz w:val="20"/>
                <w:szCs w:val="20"/>
              </w:rPr>
            </w:pPr>
            <w:r w:rsidRPr="00E477CA">
              <w:rPr>
                <w:rFonts w:ascii="Verdana" w:hAnsi="Verdana" w:cs="Times New Roman"/>
                <w:sz w:val="20"/>
                <w:szCs w:val="20"/>
              </w:rPr>
              <w:t>Only accredited investors may buy</w:t>
            </w:r>
          </w:p>
        </w:tc>
      </w:tr>
      <w:tr w:rsidR="007E2EF1" w:rsidRPr="00E477CA" w14:paraId="1F9C7A4E" w14:textId="77777777" w:rsidTr="00F87AA6">
        <w:trPr>
          <w:jc w:val="center"/>
        </w:trPr>
        <w:tc>
          <w:tcPr>
            <w:tcW w:w="2630" w:type="dxa"/>
            <w:shd w:val="clear" w:color="auto" w:fill="F2F2F2" w:themeFill="background1" w:themeFillShade="F2"/>
          </w:tcPr>
          <w:p w14:paraId="1F9C7A4B" w14:textId="77777777" w:rsidR="007E2EF1" w:rsidRPr="00E477CA" w:rsidRDefault="007E2EF1" w:rsidP="00B34410">
            <w:pPr>
              <w:spacing w:after="120"/>
              <w:jc w:val="center"/>
              <w:rPr>
                <w:rFonts w:ascii="Verdana" w:hAnsi="Verdana" w:cs="Times New Roman"/>
                <w:b/>
                <w:sz w:val="20"/>
                <w:szCs w:val="20"/>
              </w:rPr>
            </w:pPr>
            <w:r w:rsidRPr="00E477CA">
              <w:rPr>
                <w:rFonts w:ascii="Verdana" w:hAnsi="Verdana" w:cs="Times New Roman"/>
                <w:b/>
                <w:sz w:val="20"/>
                <w:szCs w:val="20"/>
              </w:rPr>
              <w:t>Ascertaining Accredited Investor Status:</w:t>
            </w:r>
          </w:p>
        </w:tc>
        <w:tc>
          <w:tcPr>
            <w:tcW w:w="3400" w:type="dxa"/>
          </w:tcPr>
          <w:p w14:paraId="1F9C7A4C" w14:textId="77777777" w:rsidR="007E2EF1" w:rsidRPr="00E477CA" w:rsidRDefault="007E2EF1" w:rsidP="00B34410">
            <w:pPr>
              <w:spacing w:after="120"/>
              <w:rPr>
                <w:rFonts w:ascii="Verdana" w:hAnsi="Verdana" w:cs="Times New Roman"/>
                <w:sz w:val="20"/>
                <w:szCs w:val="20"/>
              </w:rPr>
            </w:pPr>
            <w:r w:rsidRPr="00E477CA">
              <w:rPr>
                <w:rFonts w:ascii="Verdana" w:hAnsi="Verdana" w:cs="Times New Roman"/>
                <w:sz w:val="20"/>
                <w:szCs w:val="20"/>
              </w:rPr>
              <w:t>Accredited investors typically self certify accredited status through an investor questionnaire</w:t>
            </w:r>
          </w:p>
        </w:tc>
        <w:tc>
          <w:tcPr>
            <w:tcW w:w="2973" w:type="dxa"/>
          </w:tcPr>
          <w:p w14:paraId="1F9C7A4D" w14:textId="77777777" w:rsidR="007E2EF1" w:rsidRPr="00E477CA" w:rsidRDefault="007E2EF1" w:rsidP="00B34410">
            <w:pPr>
              <w:spacing w:after="120"/>
              <w:rPr>
                <w:rFonts w:ascii="Verdana" w:hAnsi="Verdana" w:cs="Times New Roman"/>
                <w:sz w:val="20"/>
                <w:szCs w:val="20"/>
              </w:rPr>
            </w:pPr>
            <w:r w:rsidRPr="00E477CA">
              <w:rPr>
                <w:rFonts w:ascii="Verdana" w:hAnsi="Verdana" w:cs="Times New Roman"/>
                <w:sz w:val="20"/>
                <w:szCs w:val="20"/>
              </w:rPr>
              <w:t>Issuers must take reasonable steps to “verify” accredited status; may use various methods; non-exclusive list of methods that may be relied on as meeting requirements</w:t>
            </w:r>
          </w:p>
        </w:tc>
      </w:tr>
      <w:tr w:rsidR="007E2EF1" w:rsidRPr="00E477CA" w14:paraId="1F9C7A54" w14:textId="77777777" w:rsidTr="00F87AA6">
        <w:trPr>
          <w:jc w:val="center"/>
        </w:trPr>
        <w:tc>
          <w:tcPr>
            <w:tcW w:w="2630" w:type="dxa"/>
            <w:shd w:val="clear" w:color="auto" w:fill="F2F2F2" w:themeFill="background1" w:themeFillShade="F2"/>
          </w:tcPr>
          <w:p w14:paraId="1F9C7A4F" w14:textId="77777777" w:rsidR="007E2EF1" w:rsidRPr="00E477CA" w:rsidRDefault="007E2EF1" w:rsidP="00B34410">
            <w:pPr>
              <w:spacing w:after="120"/>
              <w:jc w:val="center"/>
              <w:rPr>
                <w:rFonts w:ascii="Verdana" w:hAnsi="Verdana" w:cs="Times New Roman"/>
                <w:b/>
                <w:sz w:val="20"/>
                <w:szCs w:val="20"/>
              </w:rPr>
            </w:pPr>
            <w:r w:rsidRPr="00E477CA">
              <w:rPr>
                <w:rFonts w:ascii="Verdana" w:hAnsi="Verdana" w:cs="Times New Roman"/>
                <w:b/>
                <w:sz w:val="20"/>
                <w:szCs w:val="20"/>
              </w:rPr>
              <w:t>Filing Requirement:</w:t>
            </w:r>
          </w:p>
        </w:tc>
        <w:tc>
          <w:tcPr>
            <w:tcW w:w="3400" w:type="dxa"/>
          </w:tcPr>
          <w:p w14:paraId="1F9C7A50" w14:textId="77777777" w:rsidR="007E2EF1" w:rsidRPr="00E477CA" w:rsidRDefault="007E2EF1" w:rsidP="002B5994">
            <w:pPr>
              <w:spacing w:after="120"/>
              <w:rPr>
                <w:rFonts w:ascii="Verdana" w:hAnsi="Verdana" w:cs="Times New Roman"/>
                <w:sz w:val="20"/>
                <w:szCs w:val="20"/>
              </w:rPr>
            </w:pPr>
            <w:r w:rsidRPr="00E477CA">
              <w:rPr>
                <w:rFonts w:ascii="Verdana" w:hAnsi="Verdana" w:cs="Times New Roman"/>
                <w:sz w:val="20"/>
                <w:szCs w:val="20"/>
              </w:rPr>
              <w:t>File Form D with the SEC not later than 15 days after first sale.</w:t>
            </w:r>
          </w:p>
          <w:p w14:paraId="1F9C7A51" w14:textId="77777777" w:rsidR="007E2EF1" w:rsidRPr="00E477CA" w:rsidRDefault="007E2EF1" w:rsidP="00B34410">
            <w:pPr>
              <w:spacing w:after="120"/>
              <w:rPr>
                <w:rFonts w:ascii="Verdana" w:hAnsi="Verdana" w:cs="Times New Roman"/>
                <w:sz w:val="20"/>
                <w:szCs w:val="20"/>
              </w:rPr>
            </w:pPr>
          </w:p>
        </w:tc>
        <w:tc>
          <w:tcPr>
            <w:tcW w:w="2973" w:type="dxa"/>
          </w:tcPr>
          <w:p w14:paraId="1F9C7A52" w14:textId="77777777" w:rsidR="007E2EF1" w:rsidRPr="00E477CA" w:rsidRDefault="007E2EF1" w:rsidP="002B5994">
            <w:pPr>
              <w:spacing w:after="120"/>
              <w:rPr>
                <w:rFonts w:ascii="Verdana" w:hAnsi="Verdana" w:cs="Times New Roman"/>
                <w:sz w:val="20"/>
                <w:szCs w:val="20"/>
              </w:rPr>
            </w:pPr>
            <w:r w:rsidRPr="00E477CA">
              <w:rPr>
                <w:rFonts w:ascii="Verdana" w:hAnsi="Verdana" w:cs="Times New Roman"/>
                <w:sz w:val="20"/>
                <w:szCs w:val="20"/>
              </w:rPr>
              <w:t xml:space="preserve">File Form D with the SEC 15 days before use of general solicitation </w:t>
            </w:r>
          </w:p>
          <w:p w14:paraId="1F9C7A53" w14:textId="77777777" w:rsidR="007E2EF1" w:rsidRPr="00E477CA" w:rsidRDefault="007E2EF1" w:rsidP="00B34410">
            <w:pPr>
              <w:spacing w:after="120"/>
              <w:rPr>
                <w:rFonts w:ascii="Verdana" w:hAnsi="Verdana" w:cs="Times New Roman"/>
                <w:sz w:val="20"/>
                <w:szCs w:val="20"/>
              </w:rPr>
            </w:pPr>
          </w:p>
        </w:tc>
      </w:tr>
      <w:tr w:rsidR="007E2EF1" w:rsidRPr="00E477CA" w14:paraId="1F9C7A58" w14:textId="77777777" w:rsidTr="00F87AA6">
        <w:trPr>
          <w:jc w:val="center"/>
        </w:trPr>
        <w:tc>
          <w:tcPr>
            <w:tcW w:w="2630" w:type="dxa"/>
            <w:shd w:val="clear" w:color="auto" w:fill="F2F2F2" w:themeFill="background1" w:themeFillShade="F2"/>
          </w:tcPr>
          <w:p w14:paraId="1F9C7A55" w14:textId="77777777" w:rsidR="007E2EF1" w:rsidRPr="00E477CA" w:rsidRDefault="007E2EF1" w:rsidP="00B34410">
            <w:pPr>
              <w:spacing w:after="120"/>
              <w:jc w:val="center"/>
              <w:rPr>
                <w:rFonts w:ascii="Verdana" w:hAnsi="Verdana" w:cs="Times New Roman"/>
                <w:b/>
                <w:sz w:val="20"/>
                <w:szCs w:val="20"/>
              </w:rPr>
            </w:pPr>
            <w:r w:rsidRPr="00E477CA">
              <w:rPr>
                <w:rFonts w:ascii="Verdana" w:hAnsi="Verdana" w:cs="Times New Roman"/>
                <w:b/>
                <w:sz w:val="20"/>
                <w:szCs w:val="20"/>
              </w:rPr>
              <w:t>Restrictions on Resale:</w:t>
            </w:r>
          </w:p>
        </w:tc>
        <w:tc>
          <w:tcPr>
            <w:tcW w:w="3400" w:type="dxa"/>
          </w:tcPr>
          <w:p w14:paraId="1F9C7A56" w14:textId="77777777" w:rsidR="007E2EF1" w:rsidRPr="00E477CA" w:rsidRDefault="007E2EF1" w:rsidP="00B34410">
            <w:pPr>
              <w:spacing w:after="120"/>
              <w:rPr>
                <w:rFonts w:ascii="Verdana" w:hAnsi="Verdana" w:cs="Times New Roman"/>
                <w:sz w:val="20"/>
                <w:szCs w:val="20"/>
              </w:rPr>
            </w:pPr>
            <w:r w:rsidRPr="00E477CA">
              <w:rPr>
                <w:rFonts w:ascii="Verdana" w:hAnsi="Verdana" w:cs="Times New Roman"/>
                <w:sz w:val="20"/>
                <w:szCs w:val="20"/>
              </w:rPr>
              <w:t>Restricted securities.</w:t>
            </w:r>
          </w:p>
        </w:tc>
        <w:tc>
          <w:tcPr>
            <w:tcW w:w="2973" w:type="dxa"/>
          </w:tcPr>
          <w:p w14:paraId="1F9C7A57" w14:textId="77777777" w:rsidR="007E2EF1" w:rsidRPr="00E477CA" w:rsidRDefault="007E2EF1" w:rsidP="00B34410">
            <w:pPr>
              <w:spacing w:after="120"/>
              <w:rPr>
                <w:rFonts w:ascii="Verdana" w:hAnsi="Verdana" w:cs="Times New Roman"/>
                <w:sz w:val="20"/>
                <w:szCs w:val="20"/>
              </w:rPr>
            </w:pPr>
            <w:r w:rsidRPr="00E477CA">
              <w:rPr>
                <w:rFonts w:ascii="Verdana" w:hAnsi="Verdana" w:cs="Times New Roman"/>
                <w:sz w:val="20"/>
                <w:szCs w:val="20"/>
              </w:rPr>
              <w:t>Restricted securities.</w:t>
            </w:r>
          </w:p>
        </w:tc>
      </w:tr>
      <w:tr w:rsidR="007E2EF1" w:rsidRPr="00E477CA" w14:paraId="1F9C7A5C" w14:textId="77777777" w:rsidTr="00F87AA6">
        <w:trPr>
          <w:jc w:val="center"/>
        </w:trPr>
        <w:tc>
          <w:tcPr>
            <w:tcW w:w="2630" w:type="dxa"/>
            <w:shd w:val="clear" w:color="auto" w:fill="F2F2F2" w:themeFill="background1" w:themeFillShade="F2"/>
          </w:tcPr>
          <w:p w14:paraId="1F9C7A59" w14:textId="77777777" w:rsidR="007E2EF1" w:rsidRPr="00E477CA" w:rsidRDefault="007E2EF1" w:rsidP="00B34410">
            <w:pPr>
              <w:spacing w:after="120"/>
              <w:jc w:val="center"/>
              <w:rPr>
                <w:rFonts w:ascii="Verdana" w:hAnsi="Verdana" w:cs="Times New Roman"/>
                <w:b/>
                <w:sz w:val="20"/>
                <w:szCs w:val="20"/>
              </w:rPr>
            </w:pPr>
            <w:r w:rsidRPr="00E477CA">
              <w:rPr>
                <w:rFonts w:ascii="Verdana" w:hAnsi="Verdana" w:cs="Times New Roman"/>
                <w:b/>
                <w:sz w:val="20"/>
                <w:szCs w:val="20"/>
              </w:rPr>
              <w:t>Blue Sky Exemption:</w:t>
            </w:r>
          </w:p>
        </w:tc>
        <w:tc>
          <w:tcPr>
            <w:tcW w:w="3400" w:type="dxa"/>
          </w:tcPr>
          <w:p w14:paraId="1F9C7A5A" w14:textId="77777777" w:rsidR="007E2EF1" w:rsidRPr="00E477CA" w:rsidRDefault="007E2EF1" w:rsidP="00B34410">
            <w:pPr>
              <w:spacing w:after="120"/>
              <w:rPr>
                <w:rFonts w:ascii="Verdana" w:hAnsi="Verdana" w:cs="Times New Roman"/>
                <w:sz w:val="20"/>
                <w:szCs w:val="20"/>
              </w:rPr>
            </w:pPr>
            <w:r w:rsidRPr="00E477CA">
              <w:rPr>
                <w:rFonts w:ascii="Verdana" w:hAnsi="Verdana" w:cs="Times New Roman"/>
                <w:sz w:val="20"/>
                <w:szCs w:val="20"/>
              </w:rPr>
              <w:t>No need to comply with state blue sky laws</w:t>
            </w:r>
          </w:p>
        </w:tc>
        <w:tc>
          <w:tcPr>
            <w:tcW w:w="2973" w:type="dxa"/>
          </w:tcPr>
          <w:p w14:paraId="1F9C7A5B" w14:textId="77777777" w:rsidR="007E2EF1" w:rsidRPr="00E477CA" w:rsidRDefault="007E2EF1" w:rsidP="00B34410">
            <w:pPr>
              <w:spacing w:after="120"/>
              <w:rPr>
                <w:rFonts w:ascii="Verdana" w:hAnsi="Verdana" w:cs="Times New Roman"/>
                <w:sz w:val="20"/>
                <w:szCs w:val="20"/>
              </w:rPr>
            </w:pPr>
            <w:r w:rsidRPr="00E477CA">
              <w:rPr>
                <w:rFonts w:ascii="Verdana" w:hAnsi="Verdana" w:cs="Times New Roman"/>
                <w:sz w:val="20"/>
                <w:szCs w:val="20"/>
              </w:rPr>
              <w:t>No need to comply with state blue sky laws</w:t>
            </w:r>
          </w:p>
        </w:tc>
      </w:tr>
      <w:tr w:rsidR="007E2EF1" w:rsidRPr="00E477CA" w14:paraId="1F9C7A60" w14:textId="77777777" w:rsidTr="00F87AA6">
        <w:trPr>
          <w:jc w:val="center"/>
        </w:trPr>
        <w:tc>
          <w:tcPr>
            <w:tcW w:w="2630" w:type="dxa"/>
            <w:shd w:val="clear" w:color="auto" w:fill="F2F2F2" w:themeFill="background1" w:themeFillShade="F2"/>
          </w:tcPr>
          <w:p w14:paraId="1F9C7A5D" w14:textId="77777777" w:rsidR="007E2EF1" w:rsidRPr="00E477CA" w:rsidRDefault="007E2EF1" w:rsidP="00B34410">
            <w:pPr>
              <w:spacing w:after="120"/>
              <w:jc w:val="center"/>
              <w:rPr>
                <w:rFonts w:ascii="Verdana" w:hAnsi="Verdana" w:cs="Times New Roman"/>
                <w:b/>
                <w:sz w:val="20"/>
                <w:szCs w:val="20"/>
              </w:rPr>
            </w:pPr>
            <w:r w:rsidRPr="00E477CA">
              <w:rPr>
                <w:rFonts w:ascii="Verdana" w:hAnsi="Verdana" w:cs="Times New Roman"/>
                <w:b/>
                <w:sz w:val="20"/>
                <w:szCs w:val="20"/>
              </w:rPr>
              <w:t>Limits on Investment Amount:</w:t>
            </w:r>
          </w:p>
        </w:tc>
        <w:tc>
          <w:tcPr>
            <w:tcW w:w="3400" w:type="dxa"/>
          </w:tcPr>
          <w:p w14:paraId="1F9C7A5E" w14:textId="77777777" w:rsidR="007E2EF1" w:rsidRPr="00E477CA" w:rsidRDefault="007E2EF1" w:rsidP="005021DE">
            <w:pPr>
              <w:spacing w:after="120"/>
              <w:rPr>
                <w:rFonts w:ascii="Verdana" w:hAnsi="Verdana" w:cs="Times New Roman"/>
                <w:sz w:val="20"/>
                <w:szCs w:val="20"/>
              </w:rPr>
            </w:pPr>
            <w:r w:rsidRPr="00E477CA">
              <w:rPr>
                <w:rFonts w:ascii="Verdana" w:hAnsi="Verdana" w:cs="Times New Roman"/>
                <w:sz w:val="20"/>
                <w:szCs w:val="20"/>
              </w:rPr>
              <w:t>None</w:t>
            </w:r>
          </w:p>
        </w:tc>
        <w:tc>
          <w:tcPr>
            <w:tcW w:w="2973" w:type="dxa"/>
          </w:tcPr>
          <w:p w14:paraId="1F9C7A5F" w14:textId="77777777" w:rsidR="007E2EF1" w:rsidRPr="00E477CA" w:rsidRDefault="007E2EF1" w:rsidP="005021DE">
            <w:pPr>
              <w:spacing w:after="120"/>
              <w:rPr>
                <w:rFonts w:ascii="Verdana" w:hAnsi="Verdana" w:cs="Times New Roman"/>
                <w:sz w:val="20"/>
                <w:szCs w:val="20"/>
              </w:rPr>
            </w:pPr>
            <w:r w:rsidRPr="00E477CA">
              <w:rPr>
                <w:rFonts w:ascii="Verdana" w:hAnsi="Verdana" w:cs="Times New Roman"/>
                <w:sz w:val="20"/>
                <w:szCs w:val="20"/>
              </w:rPr>
              <w:t>None</w:t>
            </w:r>
          </w:p>
        </w:tc>
      </w:tr>
      <w:tr w:rsidR="007E2EF1" w:rsidRPr="00E477CA" w14:paraId="1F9C7A64" w14:textId="77777777" w:rsidTr="00F87AA6">
        <w:trPr>
          <w:jc w:val="center"/>
        </w:trPr>
        <w:tc>
          <w:tcPr>
            <w:tcW w:w="2630" w:type="dxa"/>
            <w:shd w:val="clear" w:color="auto" w:fill="F2F2F2" w:themeFill="background1" w:themeFillShade="F2"/>
          </w:tcPr>
          <w:p w14:paraId="1F9C7A61" w14:textId="77777777" w:rsidR="007E2EF1" w:rsidRPr="00E477CA" w:rsidRDefault="007E2EF1" w:rsidP="00B34410">
            <w:pPr>
              <w:spacing w:after="120"/>
              <w:jc w:val="center"/>
              <w:rPr>
                <w:rFonts w:ascii="Verdana" w:hAnsi="Verdana" w:cs="Times New Roman"/>
                <w:b/>
                <w:sz w:val="20"/>
                <w:szCs w:val="20"/>
              </w:rPr>
            </w:pPr>
            <w:r w:rsidRPr="00E477CA">
              <w:rPr>
                <w:rFonts w:ascii="Verdana" w:hAnsi="Verdana" w:cs="Times New Roman"/>
                <w:b/>
                <w:sz w:val="20"/>
                <w:szCs w:val="20"/>
              </w:rPr>
              <w:t>Types of Security:</w:t>
            </w:r>
          </w:p>
        </w:tc>
        <w:tc>
          <w:tcPr>
            <w:tcW w:w="3400" w:type="dxa"/>
          </w:tcPr>
          <w:p w14:paraId="1F9C7A62" w14:textId="77777777" w:rsidR="007E2EF1" w:rsidRPr="00E477CA" w:rsidRDefault="007E2EF1" w:rsidP="005021DE">
            <w:pPr>
              <w:spacing w:after="120"/>
              <w:rPr>
                <w:rFonts w:ascii="Verdana" w:hAnsi="Verdana" w:cs="Times New Roman"/>
                <w:sz w:val="20"/>
                <w:szCs w:val="20"/>
              </w:rPr>
            </w:pPr>
            <w:r w:rsidRPr="00E477CA">
              <w:rPr>
                <w:rFonts w:ascii="Verdana" w:hAnsi="Verdana" w:cs="Times New Roman"/>
                <w:sz w:val="20"/>
                <w:szCs w:val="20"/>
              </w:rPr>
              <w:t>No limitations</w:t>
            </w:r>
          </w:p>
        </w:tc>
        <w:tc>
          <w:tcPr>
            <w:tcW w:w="2973" w:type="dxa"/>
          </w:tcPr>
          <w:p w14:paraId="1F9C7A63" w14:textId="77777777" w:rsidR="007E2EF1" w:rsidRPr="00E477CA" w:rsidRDefault="007E2EF1" w:rsidP="005021DE">
            <w:pPr>
              <w:spacing w:after="120"/>
              <w:rPr>
                <w:rFonts w:ascii="Verdana" w:hAnsi="Verdana" w:cs="Times New Roman"/>
                <w:sz w:val="20"/>
                <w:szCs w:val="20"/>
              </w:rPr>
            </w:pPr>
            <w:r w:rsidRPr="00E477CA">
              <w:rPr>
                <w:rFonts w:ascii="Verdana" w:hAnsi="Verdana" w:cs="Times New Roman"/>
                <w:sz w:val="20"/>
                <w:szCs w:val="20"/>
              </w:rPr>
              <w:t>No limitations</w:t>
            </w:r>
          </w:p>
        </w:tc>
      </w:tr>
      <w:tr w:rsidR="007E2EF1" w:rsidRPr="00E477CA" w14:paraId="1F9C7A68" w14:textId="77777777" w:rsidTr="00F87AA6">
        <w:trPr>
          <w:jc w:val="center"/>
        </w:trPr>
        <w:tc>
          <w:tcPr>
            <w:tcW w:w="2630" w:type="dxa"/>
            <w:shd w:val="clear" w:color="auto" w:fill="F2F2F2" w:themeFill="background1" w:themeFillShade="F2"/>
          </w:tcPr>
          <w:p w14:paraId="1F9C7A65" w14:textId="77777777" w:rsidR="007E2EF1" w:rsidRPr="00E477CA" w:rsidRDefault="007E2EF1" w:rsidP="00B34410">
            <w:pPr>
              <w:spacing w:after="120"/>
              <w:jc w:val="center"/>
              <w:rPr>
                <w:rFonts w:ascii="Verdana" w:hAnsi="Verdana" w:cs="Times New Roman"/>
                <w:b/>
                <w:sz w:val="20"/>
                <w:szCs w:val="20"/>
              </w:rPr>
            </w:pPr>
            <w:r w:rsidRPr="00E477CA">
              <w:rPr>
                <w:rFonts w:ascii="Verdana" w:hAnsi="Verdana" w:cs="Times New Roman"/>
                <w:b/>
                <w:sz w:val="20"/>
                <w:szCs w:val="20"/>
              </w:rPr>
              <w:t>Structure of Investment:</w:t>
            </w:r>
          </w:p>
        </w:tc>
        <w:tc>
          <w:tcPr>
            <w:tcW w:w="3400" w:type="dxa"/>
          </w:tcPr>
          <w:p w14:paraId="1F9C7A66" w14:textId="0DFFA12E" w:rsidR="007E2EF1" w:rsidRPr="00E477CA" w:rsidRDefault="007E2EF1" w:rsidP="002B5994">
            <w:pPr>
              <w:spacing w:after="120"/>
              <w:rPr>
                <w:rFonts w:ascii="Verdana" w:hAnsi="Verdana" w:cs="Times New Roman"/>
                <w:sz w:val="20"/>
                <w:szCs w:val="20"/>
              </w:rPr>
            </w:pPr>
            <w:r w:rsidRPr="00E477CA">
              <w:rPr>
                <w:rFonts w:ascii="Verdana" w:hAnsi="Verdana" w:cs="Times New Roman"/>
                <w:sz w:val="20"/>
                <w:szCs w:val="20"/>
              </w:rPr>
              <w:t>S</w:t>
            </w:r>
            <w:r w:rsidR="003B4AC7" w:rsidRPr="00E477CA">
              <w:rPr>
                <w:rFonts w:ascii="Verdana" w:hAnsi="Verdana" w:cs="Times New Roman"/>
                <w:sz w:val="20"/>
                <w:szCs w:val="20"/>
              </w:rPr>
              <w:t xml:space="preserve">pecial purpose vehicles </w:t>
            </w:r>
            <w:r w:rsidRPr="00E477CA">
              <w:rPr>
                <w:rFonts w:ascii="Verdana" w:hAnsi="Verdana" w:cs="Times New Roman"/>
                <w:sz w:val="20"/>
                <w:szCs w:val="20"/>
              </w:rPr>
              <w:t xml:space="preserve">can be used as intermediary for holdings by accredited </w:t>
            </w:r>
            <w:r w:rsidRPr="00E477CA">
              <w:rPr>
                <w:rFonts w:ascii="Verdana" w:hAnsi="Verdana" w:cs="Times New Roman"/>
                <w:sz w:val="20"/>
                <w:szCs w:val="20"/>
              </w:rPr>
              <w:lastRenderedPageBreak/>
              <w:t>investors, but not non-accredited investors</w:t>
            </w:r>
          </w:p>
        </w:tc>
        <w:tc>
          <w:tcPr>
            <w:tcW w:w="2973" w:type="dxa"/>
          </w:tcPr>
          <w:p w14:paraId="1F9C7A67" w14:textId="776D6692" w:rsidR="007E2EF1" w:rsidRPr="00E477CA" w:rsidRDefault="003B4AC7" w:rsidP="002B5994">
            <w:pPr>
              <w:spacing w:after="120"/>
              <w:rPr>
                <w:rFonts w:ascii="Verdana" w:hAnsi="Verdana" w:cs="Times New Roman"/>
                <w:sz w:val="20"/>
                <w:szCs w:val="20"/>
              </w:rPr>
            </w:pPr>
            <w:r w:rsidRPr="00E477CA">
              <w:rPr>
                <w:rFonts w:ascii="Verdana" w:hAnsi="Verdana" w:cs="Times New Roman"/>
                <w:sz w:val="20"/>
                <w:szCs w:val="20"/>
              </w:rPr>
              <w:lastRenderedPageBreak/>
              <w:t>Special purpose vehicles</w:t>
            </w:r>
            <w:r w:rsidR="007E2EF1" w:rsidRPr="00E477CA">
              <w:rPr>
                <w:rFonts w:ascii="Verdana" w:hAnsi="Verdana" w:cs="Times New Roman"/>
                <w:sz w:val="20"/>
                <w:szCs w:val="20"/>
              </w:rPr>
              <w:t xml:space="preserve"> can be used as </w:t>
            </w:r>
            <w:r w:rsidR="007E2EF1" w:rsidRPr="00E477CA">
              <w:rPr>
                <w:rFonts w:ascii="Verdana" w:hAnsi="Verdana" w:cs="Times New Roman"/>
                <w:sz w:val="20"/>
                <w:szCs w:val="20"/>
              </w:rPr>
              <w:lastRenderedPageBreak/>
              <w:t>intermediary for holdings by accredited investors</w:t>
            </w:r>
          </w:p>
        </w:tc>
      </w:tr>
      <w:tr w:rsidR="007E2EF1" w:rsidRPr="00E477CA" w14:paraId="1F9C7A6C" w14:textId="77777777" w:rsidTr="00F87AA6">
        <w:trPr>
          <w:jc w:val="center"/>
        </w:trPr>
        <w:tc>
          <w:tcPr>
            <w:tcW w:w="2630" w:type="dxa"/>
            <w:shd w:val="clear" w:color="auto" w:fill="F2F2F2" w:themeFill="background1" w:themeFillShade="F2"/>
          </w:tcPr>
          <w:p w14:paraId="1F9C7A69" w14:textId="77777777" w:rsidR="007E2EF1" w:rsidRPr="00E477CA" w:rsidRDefault="007E2EF1" w:rsidP="00B34410">
            <w:pPr>
              <w:spacing w:after="120"/>
              <w:jc w:val="center"/>
              <w:rPr>
                <w:rFonts w:ascii="Verdana" w:hAnsi="Verdana" w:cs="Times New Roman"/>
                <w:b/>
                <w:sz w:val="20"/>
                <w:szCs w:val="20"/>
              </w:rPr>
            </w:pPr>
            <w:r w:rsidRPr="00E477CA">
              <w:rPr>
                <w:rFonts w:ascii="Verdana" w:hAnsi="Verdana" w:cs="Times New Roman"/>
                <w:b/>
                <w:sz w:val="20"/>
                <w:szCs w:val="20"/>
              </w:rPr>
              <w:lastRenderedPageBreak/>
              <w:t>Disclosure:</w:t>
            </w:r>
          </w:p>
        </w:tc>
        <w:tc>
          <w:tcPr>
            <w:tcW w:w="3400" w:type="dxa"/>
          </w:tcPr>
          <w:p w14:paraId="1F9C7A6A" w14:textId="77777777" w:rsidR="007E2EF1" w:rsidRPr="00E477CA" w:rsidRDefault="007E2EF1" w:rsidP="002B5994">
            <w:pPr>
              <w:spacing w:after="120"/>
              <w:rPr>
                <w:rFonts w:ascii="Verdana" w:hAnsi="Verdana" w:cs="Times New Roman"/>
                <w:sz w:val="20"/>
                <w:szCs w:val="20"/>
              </w:rPr>
            </w:pPr>
            <w:r w:rsidRPr="00E477CA">
              <w:rPr>
                <w:rFonts w:ascii="Verdana" w:hAnsi="Verdana" w:cs="Times New Roman"/>
                <w:sz w:val="20"/>
                <w:szCs w:val="20"/>
              </w:rPr>
              <w:t>Private Placement Memorandum typically used although not required if all investors are accredited; online offerings typically more flexible</w:t>
            </w:r>
          </w:p>
        </w:tc>
        <w:tc>
          <w:tcPr>
            <w:tcW w:w="2973" w:type="dxa"/>
          </w:tcPr>
          <w:p w14:paraId="1F9C7A6B" w14:textId="77777777" w:rsidR="007E2EF1" w:rsidRPr="00E477CA" w:rsidRDefault="007E2EF1" w:rsidP="00B34410">
            <w:pPr>
              <w:spacing w:after="120"/>
              <w:rPr>
                <w:rFonts w:ascii="Verdana" w:hAnsi="Verdana" w:cs="Times New Roman"/>
                <w:sz w:val="20"/>
                <w:szCs w:val="20"/>
              </w:rPr>
            </w:pPr>
            <w:r w:rsidRPr="00E477CA">
              <w:rPr>
                <w:rFonts w:ascii="Verdana" w:hAnsi="Verdana" w:cs="Times New Roman"/>
                <w:sz w:val="20"/>
                <w:szCs w:val="20"/>
              </w:rPr>
              <w:t>Private Placement Memorandum typically used, but disclosure  is driven by market demands and liability concerns</w:t>
            </w:r>
          </w:p>
        </w:tc>
      </w:tr>
      <w:tr w:rsidR="007E2EF1" w:rsidRPr="00E477CA" w14:paraId="1F9C7A70" w14:textId="77777777" w:rsidTr="00F87AA6">
        <w:trPr>
          <w:jc w:val="center"/>
        </w:trPr>
        <w:tc>
          <w:tcPr>
            <w:tcW w:w="2630" w:type="dxa"/>
            <w:shd w:val="clear" w:color="auto" w:fill="F2F2F2" w:themeFill="background1" w:themeFillShade="F2"/>
          </w:tcPr>
          <w:p w14:paraId="1F9C7A6D" w14:textId="77777777" w:rsidR="007E2EF1" w:rsidRPr="00E477CA" w:rsidRDefault="007E2EF1" w:rsidP="00B34410">
            <w:pPr>
              <w:spacing w:after="120"/>
              <w:jc w:val="center"/>
              <w:rPr>
                <w:rFonts w:ascii="Verdana" w:hAnsi="Verdana" w:cs="Times New Roman"/>
                <w:b/>
                <w:sz w:val="20"/>
                <w:szCs w:val="20"/>
              </w:rPr>
            </w:pPr>
            <w:r w:rsidRPr="00E477CA">
              <w:rPr>
                <w:rFonts w:ascii="Verdana" w:hAnsi="Verdana" w:cs="Times New Roman"/>
                <w:b/>
                <w:sz w:val="20"/>
                <w:szCs w:val="20"/>
              </w:rPr>
              <w:t>Use of offering materials outside of mandated disclosure.</w:t>
            </w:r>
          </w:p>
        </w:tc>
        <w:tc>
          <w:tcPr>
            <w:tcW w:w="3400" w:type="dxa"/>
          </w:tcPr>
          <w:p w14:paraId="1F9C7A6E" w14:textId="77777777" w:rsidR="007E2EF1" w:rsidRPr="00E477CA" w:rsidRDefault="007E2EF1" w:rsidP="001C4947">
            <w:pPr>
              <w:spacing w:after="120"/>
              <w:rPr>
                <w:rFonts w:ascii="Verdana" w:hAnsi="Verdana" w:cs="Times New Roman"/>
                <w:sz w:val="20"/>
                <w:szCs w:val="20"/>
              </w:rPr>
            </w:pPr>
            <w:r w:rsidRPr="00E477CA">
              <w:rPr>
                <w:rFonts w:ascii="Verdana" w:hAnsi="Verdana" w:cs="Times New Roman"/>
                <w:sz w:val="20"/>
                <w:szCs w:val="20"/>
              </w:rPr>
              <w:t>Mandated disclosure only if non-accredited investors  involved (but same disclosure should be given to all investors</w:t>
            </w:r>
          </w:p>
        </w:tc>
        <w:tc>
          <w:tcPr>
            <w:tcW w:w="2973" w:type="dxa"/>
          </w:tcPr>
          <w:p w14:paraId="1F9C7A6F" w14:textId="77777777" w:rsidR="007E2EF1" w:rsidRPr="00E477CA" w:rsidRDefault="007E2EF1" w:rsidP="00B34410">
            <w:pPr>
              <w:spacing w:after="120"/>
              <w:rPr>
                <w:rFonts w:ascii="Verdana" w:hAnsi="Verdana" w:cs="Times New Roman"/>
                <w:sz w:val="20"/>
                <w:szCs w:val="20"/>
              </w:rPr>
            </w:pPr>
            <w:r w:rsidRPr="00E477CA">
              <w:rPr>
                <w:rFonts w:ascii="Verdana" w:hAnsi="Verdana" w:cs="Times New Roman"/>
                <w:sz w:val="20"/>
                <w:szCs w:val="20"/>
              </w:rPr>
              <w:t>Not required</w:t>
            </w:r>
          </w:p>
        </w:tc>
      </w:tr>
      <w:tr w:rsidR="007E2EF1" w:rsidRPr="00E477CA" w14:paraId="1F9C7A74" w14:textId="77777777" w:rsidTr="00F87AA6">
        <w:trPr>
          <w:jc w:val="center"/>
        </w:trPr>
        <w:tc>
          <w:tcPr>
            <w:tcW w:w="2630" w:type="dxa"/>
            <w:shd w:val="clear" w:color="auto" w:fill="F2F2F2" w:themeFill="background1" w:themeFillShade="F2"/>
          </w:tcPr>
          <w:p w14:paraId="1F9C7A71" w14:textId="77777777" w:rsidR="007E2EF1" w:rsidRPr="00E477CA" w:rsidRDefault="007E2EF1" w:rsidP="00B34410">
            <w:pPr>
              <w:spacing w:after="120"/>
              <w:jc w:val="center"/>
              <w:rPr>
                <w:rFonts w:ascii="Verdana" w:hAnsi="Verdana" w:cs="Times New Roman"/>
                <w:b/>
                <w:sz w:val="20"/>
                <w:szCs w:val="20"/>
              </w:rPr>
            </w:pPr>
            <w:r w:rsidRPr="00E477CA">
              <w:rPr>
                <w:rFonts w:ascii="Verdana" w:hAnsi="Verdana" w:cs="Times New Roman"/>
                <w:b/>
                <w:sz w:val="20"/>
                <w:szCs w:val="20"/>
              </w:rPr>
              <w:t>Financial Statements:</w:t>
            </w:r>
          </w:p>
        </w:tc>
        <w:tc>
          <w:tcPr>
            <w:tcW w:w="3400" w:type="dxa"/>
          </w:tcPr>
          <w:p w14:paraId="1F9C7A72" w14:textId="77777777" w:rsidR="007E2EF1" w:rsidRPr="00E477CA" w:rsidRDefault="007E2EF1" w:rsidP="002B5994">
            <w:pPr>
              <w:spacing w:after="120"/>
              <w:rPr>
                <w:rFonts w:ascii="Verdana" w:hAnsi="Verdana" w:cs="Times New Roman"/>
                <w:sz w:val="20"/>
                <w:szCs w:val="20"/>
              </w:rPr>
            </w:pPr>
            <w:r w:rsidRPr="00E477CA">
              <w:rPr>
                <w:rFonts w:ascii="Verdana" w:hAnsi="Verdana" w:cs="Times New Roman"/>
                <w:sz w:val="20"/>
                <w:szCs w:val="20"/>
              </w:rPr>
              <w:t>Financial statements required if non-accredited investors: Offerings to $2m: audited balance sheet Offerings to $7.5m: f/s for smaller reporting companies, audited unless unreasonable expense (in which case balance sheet must be audited) Offerings above $7.5m: f/s mandated for reporting companies, audited unless</w:t>
            </w:r>
          </w:p>
        </w:tc>
        <w:tc>
          <w:tcPr>
            <w:tcW w:w="2973" w:type="dxa"/>
          </w:tcPr>
          <w:p w14:paraId="1F9C7A73" w14:textId="77777777" w:rsidR="007E2EF1" w:rsidRPr="00E477CA" w:rsidRDefault="007E2EF1" w:rsidP="00B34410">
            <w:pPr>
              <w:spacing w:after="120"/>
              <w:rPr>
                <w:rFonts w:ascii="Verdana" w:hAnsi="Verdana" w:cs="Times New Roman"/>
                <w:sz w:val="20"/>
                <w:szCs w:val="20"/>
              </w:rPr>
            </w:pPr>
            <w:r w:rsidRPr="00E477CA">
              <w:rPr>
                <w:rFonts w:ascii="Verdana" w:hAnsi="Verdana" w:cs="Times New Roman"/>
                <w:sz w:val="20"/>
                <w:szCs w:val="20"/>
              </w:rPr>
              <w:t>Not required</w:t>
            </w:r>
          </w:p>
        </w:tc>
      </w:tr>
      <w:tr w:rsidR="007E2EF1" w:rsidRPr="00E477CA" w14:paraId="1F9C7A78" w14:textId="77777777" w:rsidTr="00F87AA6">
        <w:trPr>
          <w:jc w:val="center"/>
        </w:trPr>
        <w:tc>
          <w:tcPr>
            <w:tcW w:w="2630" w:type="dxa"/>
            <w:shd w:val="clear" w:color="auto" w:fill="F2F2F2" w:themeFill="background1" w:themeFillShade="F2"/>
          </w:tcPr>
          <w:p w14:paraId="1F9C7A75" w14:textId="77777777" w:rsidR="007E2EF1" w:rsidRPr="00E477CA" w:rsidRDefault="007E2EF1" w:rsidP="00B34410">
            <w:pPr>
              <w:spacing w:after="120"/>
              <w:jc w:val="center"/>
              <w:rPr>
                <w:rFonts w:ascii="Verdana" w:hAnsi="Verdana" w:cs="Times New Roman"/>
                <w:b/>
                <w:sz w:val="20"/>
                <w:szCs w:val="20"/>
              </w:rPr>
            </w:pPr>
            <w:r w:rsidRPr="00E477CA">
              <w:rPr>
                <w:rFonts w:ascii="Verdana" w:hAnsi="Verdana" w:cs="Times New Roman"/>
                <w:b/>
                <w:sz w:val="20"/>
                <w:szCs w:val="20"/>
              </w:rPr>
              <w:t>SEC Review:</w:t>
            </w:r>
          </w:p>
        </w:tc>
        <w:tc>
          <w:tcPr>
            <w:tcW w:w="3400" w:type="dxa"/>
          </w:tcPr>
          <w:p w14:paraId="1F9C7A76" w14:textId="77777777" w:rsidR="007E2EF1" w:rsidRPr="00E477CA" w:rsidRDefault="007E2EF1" w:rsidP="00B34410">
            <w:pPr>
              <w:spacing w:after="120"/>
              <w:rPr>
                <w:rFonts w:ascii="Verdana" w:hAnsi="Verdana" w:cs="Times New Roman"/>
                <w:sz w:val="20"/>
                <w:szCs w:val="20"/>
              </w:rPr>
            </w:pPr>
            <w:r w:rsidRPr="00E477CA">
              <w:rPr>
                <w:rFonts w:ascii="Verdana" w:hAnsi="Verdana" w:cs="Times New Roman"/>
                <w:sz w:val="20"/>
                <w:szCs w:val="20"/>
              </w:rPr>
              <w:t>No review by SEC</w:t>
            </w:r>
          </w:p>
        </w:tc>
        <w:tc>
          <w:tcPr>
            <w:tcW w:w="2973" w:type="dxa"/>
          </w:tcPr>
          <w:p w14:paraId="1F9C7A77" w14:textId="77777777" w:rsidR="007E2EF1" w:rsidRPr="00E477CA" w:rsidRDefault="007E2EF1" w:rsidP="00B34410">
            <w:pPr>
              <w:spacing w:after="120"/>
              <w:rPr>
                <w:rFonts w:ascii="Verdana" w:hAnsi="Verdana" w:cs="Times New Roman"/>
                <w:sz w:val="20"/>
                <w:szCs w:val="20"/>
              </w:rPr>
            </w:pPr>
            <w:r w:rsidRPr="00E477CA">
              <w:rPr>
                <w:rFonts w:ascii="Verdana" w:hAnsi="Verdana" w:cs="Times New Roman"/>
                <w:sz w:val="20"/>
                <w:szCs w:val="20"/>
              </w:rPr>
              <w:t>No review by SEC</w:t>
            </w:r>
          </w:p>
        </w:tc>
      </w:tr>
      <w:tr w:rsidR="007E2EF1" w:rsidRPr="00E477CA" w14:paraId="1F9C7A7C" w14:textId="77777777" w:rsidTr="00F87AA6">
        <w:trPr>
          <w:jc w:val="center"/>
        </w:trPr>
        <w:tc>
          <w:tcPr>
            <w:tcW w:w="2630" w:type="dxa"/>
            <w:shd w:val="clear" w:color="auto" w:fill="F2F2F2" w:themeFill="background1" w:themeFillShade="F2"/>
          </w:tcPr>
          <w:p w14:paraId="1F9C7A79" w14:textId="77777777" w:rsidR="007E2EF1" w:rsidRPr="00E477CA" w:rsidRDefault="007E2EF1" w:rsidP="00B34410">
            <w:pPr>
              <w:spacing w:after="120"/>
              <w:jc w:val="center"/>
              <w:rPr>
                <w:rFonts w:ascii="Verdana" w:hAnsi="Verdana" w:cs="Times New Roman"/>
                <w:b/>
                <w:sz w:val="20"/>
                <w:szCs w:val="20"/>
              </w:rPr>
            </w:pPr>
            <w:r w:rsidRPr="00E477CA">
              <w:rPr>
                <w:rFonts w:ascii="Verdana" w:hAnsi="Verdana" w:cs="Times New Roman"/>
                <w:b/>
                <w:sz w:val="20"/>
                <w:szCs w:val="20"/>
              </w:rPr>
              <w:t>Ongoing  Disclosure:</w:t>
            </w:r>
          </w:p>
        </w:tc>
        <w:tc>
          <w:tcPr>
            <w:tcW w:w="3400" w:type="dxa"/>
          </w:tcPr>
          <w:p w14:paraId="1F9C7A7A" w14:textId="77777777" w:rsidR="007E2EF1" w:rsidRPr="00E477CA" w:rsidRDefault="007E2EF1" w:rsidP="00B34410">
            <w:pPr>
              <w:spacing w:after="120"/>
              <w:rPr>
                <w:rFonts w:ascii="Verdana" w:hAnsi="Verdana" w:cs="Times New Roman"/>
                <w:sz w:val="20"/>
                <w:szCs w:val="20"/>
              </w:rPr>
            </w:pPr>
            <w:r w:rsidRPr="00E477CA">
              <w:rPr>
                <w:rFonts w:ascii="Verdana" w:hAnsi="Verdana" w:cs="Times New Roman"/>
                <w:sz w:val="20"/>
                <w:szCs w:val="20"/>
              </w:rPr>
              <w:t>None</w:t>
            </w:r>
          </w:p>
        </w:tc>
        <w:tc>
          <w:tcPr>
            <w:tcW w:w="2973" w:type="dxa"/>
          </w:tcPr>
          <w:p w14:paraId="1F9C7A7B" w14:textId="77777777" w:rsidR="007E2EF1" w:rsidRPr="00E477CA" w:rsidRDefault="007E2EF1" w:rsidP="00B34410">
            <w:pPr>
              <w:spacing w:after="120"/>
              <w:rPr>
                <w:rFonts w:ascii="Verdana" w:hAnsi="Verdana" w:cs="Times New Roman"/>
                <w:sz w:val="20"/>
                <w:szCs w:val="20"/>
              </w:rPr>
            </w:pPr>
            <w:r w:rsidRPr="00E477CA">
              <w:rPr>
                <w:rFonts w:ascii="Verdana" w:hAnsi="Verdana" w:cs="Times New Roman"/>
                <w:sz w:val="20"/>
                <w:szCs w:val="20"/>
              </w:rPr>
              <w:t>None</w:t>
            </w:r>
          </w:p>
        </w:tc>
      </w:tr>
      <w:tr w:rsidR="007E2EF1" w:rsidRPr="00E477CA" w14:paraId="1F9C7A80" w14:textId="77777777" w:rsidTr="00F87AA6">
        <w:trPr>
          <w:jc w:val="center"/>
        </w:trPr>
        <w:tc>
          <w:tcPr>
            <w:tcW w:w="2630" w:type="dxa"/>
            <w:shd w:val="clear" w:color="auto" w:fill="F2F2F2" w:themeFill="background1" w:themeFillShade="F2"/>
          </w:tcPr>
          <w:p w14:paraId="1F9C7A7D" w14:textId="77777777" w:rsidR="007E2EF1" w:rsidRPr="00E477CA" w:rsidRDefault="007E2EF1" w:rsidP="00B34410">
            <w:pPr>
              <w:spacing w:after="120"/>
              <w:jc w:val="center"/>
              <w:rPr>
                <w:rFonts w:ascii="Verdana" w:hAnsi="Verdana" w:cs="Times New Roman"/>
                <w:b/>
                <w:sz w:val="20"/>
                <w:szCs w:val="20"/>
              </w:rPr>
            </w:pPr>
            <w:r w:rsidRPr="00E477CA">
              <w:rPr>
                <w:rFonts w:ascii="Verdana" w:hAnsi="Verdana" w:cs="Times New Roman"/>
                <w:b/>
                <w:sz w:val="20"/>
                <w:szCs w:val="20"/>
              </w:rPr>
              <w:t>Liability:</w:t>
            </w:r>
          </w:p>
        </w:tc>
        <w:tc>
          <w:tcPr>
            <w:tcW w:w="3400" w:type="dxa"/>
          </w:tcPr>
          <w:p w14:paraId="1F9C7A7E" w14:textId="77777777" w:rsidR="007E2EF1" w:rsidRPr="00E477CA" w:rsidRDefault="007E2EF1" w:rsidP="00B34410">
            <w:pPr>
              <w:spacing w:after="120"/>
              <w:rPr>
                <w:rFonts w:ascii="Verdana" w:hAnsi="Verdana" w:cs="Times New Roman"/>
                <w:sz w:val="20"/>
                <w:szCs w:val="20"/>
              </w:rPr>
            </w:pPr>
            <w:r w:rsidRPr="00E477CA">
              <w:rPr>
                <w:rFonts w:ascii="Verdana" w:hAnsi="Verdana" w:cs="Times New Roman"/>
                <w:sz w:val="20"/>
                <w:szCs w:val="20"/>
              </w:rPr>
              <w:t>Liability under general Section 17/Rule 10b-5 anti-fraud provisions for any person making untrue statements; state law liability; potential “willful participant” liability for intermediary</w:t>
            </w:r>
          </w:p>
        </w:tc>
        <w:tc>
          <w:tcPr>
            <w:tcW w:w="2973" w:type="dxa"/>
          </w:tcPr>
          <w:p w14:paraId="1F9C7A7F" w14:textId="77777777" w:rsidR="007E2EF1" w:rsidRPr="00E477CA" w:rsidRDefault="007E2EF1" w:rsidP="00B34410">
            <w:pPr>
              <w:spacing w:after="120"/>
              <w:rPr>
                <w:rFonts w:ascii="Verdana" w:hAnsi="Verdana" w:cs="Times New Roman"/>
                <w:sz w:val="20"/>
                <w:szCs w:val="20"/>
              </w:rPr>
            </w:pPr>
            <w:r w:rsidRPr="00E477CA">
              <w:rPr>
                <w:rFonts w:ascii="Verdana" w:hAnsi="Verdana" w:cs="Times New Roman"/>
                <w:sz w:val="20"/>
                <w:szCs w:val="20"/>
              </w:rPr>
              <w:t>Liability under general Section 17/Rule 10b-5 anti-fraud provisions for any person making untrue statements; state law liability; potential “willful participant” liability for intermediary</w:t>
            </w:r>
          </w:p>
        </w:tc>
      </w:tr>
      <w:tr w:rsidR="007E2EF1" w:rsidRPr="00E477CA" w14:paraId="1F9C7A84" w14:textId="77777777" w:rsidTr="00F87AA6">
        <w:trPr>
          <w:jc w:val="center"/>
        </w:trPr>
        <w:tc>
          <w:tcPr>
            <w:tcW w:w="2630" w:type="dxa"/>
            <w:shd w:val="clear" w:color="auto" w:fill="F2F2F2" w:themeFill="background1" w:themeFillShade="F2"/>
          </w:tcPr>
          <w:p w14:paraId="1F9C7A81" w14:textId="77777777" w:rsidR="007E2EF1" w:rsidRPr="00E477CA" w:rsidRDefault="007E2EF1" w:rsidP="00B34410">
            <w:pPr>
              <w:spacing w:after="120"/>
              <w:jc w:val="center"/>
              <w:rPr>
                <w:rFonts w:ascii="Verdana" w:hAnsi="Verdana" w:cs="Times New Roman"/>
                <w:b/>
                <w:sz w:val="20"/>
                <w:szCs w:val="20"/>
              </w:rPr>
            </w:pPr>
            <w:r w:rsidRPr="00E477CA">
              <w:rPr>
                <w:rFonts w:ascii="Verdana" w:hAnsi="Verdana" w:cs="Times New Roman"/>
                <w:b/>
                <w:sz w:val="20"/>
                <w:szCs w:val="20"/>
              </w:rPr>
              <w:t>Register under 34 Act</w:t>
            </w:r>
          </w:p>
        </w:tc>
        <w:tc>
          <w:tcPr>
            <w:tcW w:w="3400" w:type="dxa"/>
          </w:tcPr>
          <w:p w14:paraId="1F9C7A82" w14:textId="77777777" w:rsidR="007E2EF1" w:rsidRPr="00E477CA" w:rsidRDefault="007E2EF1" w:rsidP="001C4947">
            <w:pPr>
              <w:spacing w:after="120"/>
              <w:rPr>
                <w:rFonts w:ascii="Verdana" w:hAnsi="Verdana" w:cs="Times New Roman"/>
                <w:sz w:val="20"/>
                <w:szCs w:val="20"/>
              </w:rPr>
            </w:pPr>
            <w:r w:rsidRPr="00E477CA">
              <w:rPr>
                <w:rFonts w:ascii="Verdana" w:hAnsi="Verdana" w:cs="Times New Roman"/>
                <w:sz w:val="20"/>
                <w:szCs w:val="20"/>
              </w:rPr>
              <w:t>Registration required if 2,000 holders of record of equity securities or 500 non-accredited holders</w:t>
            </w:r>
          </w:p>
        </w:tc>
        <w:tc>
          <w:tcPr>
            <w:tcW w:w="2973" w:type="dxa"/>
          </w:tcPr>
          <w:p w14:paraId="1F9C7A83" w14:textId="77777777" w:rsidR="007E2EF1" w:rsidRPr="00E477CA" w:rsidRDefault="007E2EF1" w:rsidP="00B34410">
            <w:pPr>
              <w:spacing w:after="120"/>
              <w:rPr>
                <w:rFonts w:ascii="Verdana" w:hAnsi="Verdana" w:cs="Times New Roman"/>
                <w:sz w:val="20"/>
                <w:szCs w:val="20"/>
              </w:rPr>
            </w:pPr>
            <w:r w:rsidRPr="00E477CA">
              <w:rPr>
                <w:rFonts w:ascii="Verdana" w:hAnsi="Verdana" w:cs="Times New Roman"/>
                <w:sz w:val="20"/>
                <w:szCs w:val="20"/>
              </w:rPr>
              <w:t>Registration required if 2,000 holders of record of equity securities</w:t>
            </w:r>
          </w:p>
        </w:tc>
      </w:tr>
      <w:tr w:rsidR="007E2EF1" w:rsidRPr="00E477CA" w14:paraId="1F9C7A88" w14:textId="77777777" w:rsidTr="00F87AA6">
        <w:trPr>
          <w:jc w:val="center"/>
        </w:trPr>
        <w:tc>
          <w:tcPr>
            <w:tcW w:w="2630" w:type="dxa"/>
            <w:shd w:val="clear" w:color="auto" w:fill="F2F2F2" w:themeFill="background1" w:themeFillShade="F2"/>
          </w:tcPr>
          <w:p w14:paraId="1F9C7A85" w14:textId="77777777" w:rsidR="007E2EF1" w:rsidRPr="00E477CA" w:rsidRDefault="007E2EF1" w:rsidP="00B34410">
            <w:pPr>
              <w:spacing w:after="120"/>
              <w:jc w:val="center"/>
              <w:rPr>
                <w:rFonts w:ascii="Verdana" w:hAnsi="Verdana" w:cs="Times New Roman"/>
                <w:b/>
                <w:sz w:val="20"/>
                <w:szCs w:val="20"/>
              </w:rPr>
            </w:pPr>
            <w:r w:rsidRPr="00E477CA">
              <w:rPr>
                <w:rFonts w:ascii="Verdana" w:hAnsi="Verdana" w:cs="Times New Roman"/>
                <w:b/>
                <w:sz w:val="20"/>
                <w:szCs w:val="20"/>
              </w:rPr>
              <w:t>Intermediaries:</w:t>
            </w:r>
          </w:p>
        </w:tc>
        <w:tc>
          <w:tcPr>
            <w:tcW w:w="3400" w:type="dxa"/>
          </w:tcPr>
          <w:p w14:paraId="1F9C7A86" w14:textId="77777777" w:rsidR="007E2EF1" w:rsidRPr="00E477CA" w:rsidRDefault="007E2EF1" w:rsidP="001C4947">
            <w:pPr>
              <w:spacing w:after="120"/>
              <w:rPr>
                <w:rFonts w:ascii="Verdana" w:hAnsi="Verdana" w:cs="Times New Roman"/>
                <w:sz w:val="20"/>
                <w:szCs w:val="20"/>
              </w:rPr>
            </w:pPr>
            <w:r w:rsidRPr="00E477CA">
              <w:rPr>
                <w:rFonts w:ascii="Verdana" w:hAnsi="Verdana" w:cs="Times New Roman"/>
                <w:sz w:val="20"/>
                <w:szCs w:val="20"/>
              </w:rPr>
              <w:t>Intermediaries not required; any intermediaries used must be registered broker dealers or entities exempt from B/D registration (such as VC Funds or bulletin boards)</w:t>
            </w:r>
          </w:p>
        </w:tc>
        <w:tc>
          <w:tcPr>
            <w:tcW w:w="2973" w:type="dxa"/>
          </w:tcPr>
          <w:p w14:paraId="1F9C7A87" w14:textId="77777777" w:rsidR="007E2EF1" w:rsidRPr="00E477CA" w:rsidRDefault="007E2EF1" w:rsidP="00B34410">
            <w:pPr>
              <w:spacing w:after="120"/>
              <w:rPr>
                <w:rFonts w:ascii="Verdana" w:hAnsi="Verdana" w:cs="Times New Roman"/>
                <w:sz w:val="20"/>
                <w:szCs w:val="20"/>
              </w:rPr>
            </w:pPr>
            <w:r w:rsidRPr="00E477CA">
              <w:rPr>
                <w:rFonts w:ascii="Verdana" w:hAnsi="Verdana" w:cs="Times New Roman"/>
                <w:sz w:val="20"/>
                <w:szCs w:val="20"/>
              </w:rPr>
              <w:t>Intermediaries not required; any intermediaries used must be registered broker dealers or entities exempt from B/D registration (such as VC Funds or bulletin boards)</w:t>
            </w:r>
          </w:p>
        </w:tc>
      </w:tr>
      <w:tr w:rsidR="007E2EF1" w:rsidRPr="00E477CA" w14:paraId="1F9C7A8C" w14:textId="77777777" w:rsidTr="00F87AA6">
        <w:trPr>
          <w:jc w:val="center"/>
        </w:trPr>
        <w:tc>
          <w:tcPr>
            <w:tcW w:w="2630" w:type="dxa"/>
            <w:shd w:val="clear" w:color="auto" w:fill="F2F2F2" w:themeFill="background1" w:themeFillShade="F2"/>
          </w:tcPr>
          <w:p w14:paraId="1F9C7A89" w14:textId="77777777" w:rsidR="007E2EF1" w:rsidRPr="00E477CA" w:rsidRDefault="007E2EF1" w:rsidP="00B34410">
            <w:pPr>
              <w:spacing w:after="120"/>
              <w:jc w:val="center"/>
              <w:rPr>
                <w:rFonts w:ascii="Verdana" w:hAnsi="Verdana" w:cs="Times New Roman"/>
                <w:b/>
                <w:sz w:val="20"/>
                <w:szCs w:val="20"/>
              </w:rPr>
            </w:pPr>
            <w:r w:rsidRPr="00E477CA">
              <w:rPr>
                <w:rFonts w:ascii="Verdana" w:hAnsi="Verdana" w:cs="Times New Roman"/>
                <w:b/>
                <w:sz w:val="20"/>
                <w:szCs w:val="20"/>
              </w:rPr>
              <w:t>“Bad Actor” Rules:</w:t>
            </w:r>
          </w:p>
        </w:tc>
        <w:tc>
          <w:tcPr>
            <w:tcW w:w="3400" w:type="dxa"/>
          </w:tcPr>
          <w:p w14:paraId="1F9C7A8A" w14:textId="77777777" w:rsidR="007E2EF1" w:rsidRPr="00E477CA" w:rsidRDefault="007E2EF1" w:rsidP="001C4947">
            <w:pPr>
              <w:spacing w:after="120"/>
              <w:rPr>
                <w:rFonts w:ascii="Verdana" w:hAnsi="Verdana" w:cs="Times New Roman"/>
                <w:sz w:val="20"/>
                <w:szCs w:val="20"/>
              </w:rPr>
            </w:pPr>
            <w:r w:rsidRPr="00E477CA">
              <w:rPr>
                <w:rFonts w:ascii="Verdana" w:hAnsi="Verdana" w:cs="Times New Roman"/>
                <w:sz w:val="20"/>
                <w:szCs w:val="20"/>
              </w:rPr>
              <w:t>Offering cannot be made if “Bad Actor” involved; issuer must take “reasonable care” to exclude Bad Actors, may use questionnaires</w:t>
            </w:r>
          </w:p>
        </w:tc>
        <w:tc>
          <w:tcPr>
            <w:tcW w:w="2973" w:type="dxa"/>
          </w:tcPr>
          <w:p w14:paraId="1F9C7A8B" w14:textId="77777777" w:rsidR="007E2EF1" w:rsidRPr="00E477CA" w:rsidRDefault="007E2EF1" w:rsidP="00B34410">
            <w:pPr>
              <w:spacing w:after="120"/>
              <w:rPr>
                <w:rFonts w:ascii="Verdana" w:hAnsi="Verdana" w:cs="Times New Roman"/>
                <w:sz w:val="20"/>
                <w:szCs w:val="20"/>
              </w:rPr>
            </w:pPr>
            <w:r w:rsidRPr="00E477CA">
              <w:rPr>
                <w:rFonts w:ascii="Verdana" w:hAnsi="Verdana" w:cs="Times New Roman"/>
                <w:sz w:val="20"/>
                <w:szCs w:val="20"/>
              </w:rPr>
              <w:t>Offering cannot be made if “Bad Actor” involved; issuer must take “reasonable care” to exclude Bad Actors, may use questionnaires</w:t>
            </w:r>
          </w:p>
        </w:tc>
      </w:tr>
    </w:tbl>
    <w:p w14:paraId="1F9C7A8D" w14:textId="386E3F8D" w:rsidR="00B34410" w:rsidRPr="00E477CA" w:rsidRDefault="00B34410" w:rsidP="00B34410">
      <w:pPr>
        <w:rPr>
          <w:rFonts w:ascii="Verdana" w:hAnsi="Verdana" w:cs="Times New Roman"/>
          <w:b/>
          <w:sz w:val="24"/>
          <w:szCs w:val="24"/>
        </w:rPr>
      </w:pPr>
    </w:p>
    <w:p w14:paraId="6EF07520" w14:textId="59AC6B6B" w:rsidR="00D04181" w:rsidRPr="00E477CA" w:rsidRDefault="00D04181" w:rsidP="00835567">
      <w:pPr>
        <w:spacing w:after="120" w:line="240" w:lineRule="auto"/>
        <w:rPr>
          <w:rFonts w:ascii="Verdana" w:hAnsi="Verdana" w:cs="Times New Roman"/>
          <w:b/>
          <w:i/>
          <w:sz w:val="24"/>
          <w:szCs w:val="24"/>
          <w:u w:val="single"/>
        </w:rPr>
      </w:pPr>
      <w:r w:rsidRPr="00E477CA">
        <w:rPr>
          <w:rFonts w:ascii="Verdana" w:hAnsi="Verdana" w:cs="Times New Roman"/>
          <w:b/>
          <w:i/>
          <w:sz w:val="24"/>
          <w:szCs w:val="24"/>
          <w:u w:val="single"/>
        </w:rPr>
        <w:t>Three Important Distinctions between Regulation D Rule 506(b) and Regulation D Rule 506(c)</w:t>
      </w:r>
    </w:p>
    <w:p w14:paraId="33425F49" w14:textId="77777777" w:rsidR="00835567" w:rsidRPr="00E477CA" w:rsidRDefault="00835567" w:rsidP="00E477CA">
      <w:pPr>
        <w:pStyle w:val="ListParagraph"/>
        <w:numPr>
          <w:ilvl w:val="0"/>
          <w:numId w:val="1"/>
        </w:numPr>
        <w:spacing w:after="120" w:line="240" w:lineRule="auto"/>
        <w:ind w:left="360"/>
        <w:rPr>
          <w:rFonts w:ascii="Verdana" w:hAnsi="Verdana" w:cs="Times New Roman"/>
          <w:b/>
          <w:sz w:val="24"/>
          <w:szCs w:val="24"/>
        </w:rPr>
      </w:pPr>
      <w:r w:rsidRPr="00E477CA">
        <w:rPr>
          <w:rFonts w:ascii="Verdana" w:hAnsi="Verdana" w:cs="Times New Roman"/>
          <w:b/>
          <w:sz w:val="24"/>
          <w:szCs w:val="24"/>
        </w:rPr>
        <w:t>Information</w:t>
      </w:r>
    </w:p>
    <w:p w14:paraId="144E35C2" w14:textId="77777777" w:rsidR="00835567" w:rsidRPr="00E477CA" w:rsidRDefault="00835567" w:rsidP="00E477CA">
      <w:pPr>
        <w:spacing w:after="120" w:line="240" w:lineRule="auto"/>
        <w:jc w:val="both"/>
        <w:rPr>
          <w:rFonts w:ascii="Verdana" w:hAnsi="Verdana" w:cs="Times New Roman"/>
          <w:sz w:val="24"/>
          <w:szCs w:val="24"/>
        </w:rPr>
      </w:pPr>
      <w:r w:rsidRPr="00E477CA">
        <w:rPr>
          <w:rFonts w:ascii="Verdana" w:hAnsi="Verdana" w:cs="Times New Roman"/>
          <w:sz w:val="24"/>
          <w:szCs w:val="24"/>
        </w:rPr>
        <w:t>If all the investors are accredited, there is no difference between Rule 506(b) and Rule 506(c). If there is even one non-accredited investor in a Rule 506(b) offering the issuer must provide a lot more information.</w:t>
      </w:r>
    </w:p>
    <w:p w14:paraId="17711CD6" w14:textId="77777777" w:rsidR="00835567" w:rsidRPr="00E477CA" w:rsidRDefault="00835567" w:rsidP="00E477CA">
      <w:pPr>
        <w:pStyle w:val="ListParagraph"/>
        <w:numPr>
          <w:ilvl w:val="0"/>
          <w:numId w:val="1"/>
        </w:numPr>
        <w:spacing w:after="120" w:line="240" w:lineRule="auto"/>
        <w:ind w:left="360"/>
        <w:rPr>
          <w:rFonts w:ascii="Verdana" w:hAnsi="Verdana" w:cs="Times New Roman"/>
          <w:b/>
          <w:sz w:val="24"/>
          <w:szCs w:val="24"/>
        </w:rPr>
      </w:pPr>
      <w:r w:rsidRPr="00E477CA">
        <w:rPr>
          <w:rFonts w:ascii="Verdana" w:hAnsi="Verdana" w:cs="Times New Roman"/>
          <w:b/>
          <w:sz w:val="24"/>
          <w:szCs w:val="24"/>
        </w:rPr>
        <w:t>Advertising</w:t>
      </w:r>
    </w:p>
    <w:p w14:paraId="696BEA8C" w14:textId="77777777" w:rsidR="00835567" w:rsidRPr="00E477CA" w:rsidRDefault="00835567" w:rsidP="00E477CA">
      <w:pPr>
        <w:spacing w:after="120" w:line="240" w:lineRule="auto"/>
        <w:jc w:val="both"/>
        <w:rPr>
          <w:rFonts w:ascii="Verdana" w:hAnsi="Verdana" w:cs="Times New Roman"/>
          <w:sz w:val="24"/>
          <w:szCs w:val="24"/>
        </w:rPr>
      </w:pPr>
      <w:r w:rsidRPr="00E477CA">
        <w:rPr>
          <w:rFonts w:ascii="Verdana" w:hAnsi="Verdana" w:cs="Times New Roman"/>
          <w:sz w:val="24"/>
          <w:szCs w:val="24"/>
        </w:rPr>
        <w:t>In a Rule 506(b) offering you can advertise only the brand, however in a Rule 506(c) offering you can advertise the deal. An issuer undertaking a 506(b) offering can use their website attracts investors who sign up and go through a know your customer process following SEC guidelines. This involves having the investor complete questionnaires, speaking with the investor on the phone a couple times, learning about his or her experience and knowledge investing – in essence developing a relationship. Then, and only then, can should the issuer show the investor actual investments.</w:t>
      </w:r>
    </w:p>
    <w:p w14:paraId="6C11EE86" w14:textId="77777777" w:rsidR="00835567" w:rsidRPr="00E477CA" w:rsidRDefault="00835567" w:rsidP="00E477CA">
      <w:pPr>
        <w:spacing w:after="120" w:line="240" w:lineRule="auto"/>
        <w:jc w:val="both"/>
        <w:rPr>
          <w:rFonts w:ascii="Verdana" w:hAnsi="Verdana" w:cs="Times New Roman"/>
          <w:b/>
          <w:sz w:val="24"/>
          <w:szCs w:val="24"/>
        </w:rPr>
      </w:pPr>
      <w:r w:rsidRPr="00E477CA">
        <w:rPr>
          <w:rFonts w:ascii="Verdana" w:hAnsi="Verdana" w:cs="Times New Roman"/>
          <w:sz w:val="24"/>
          <w:szCs w:val="24"/>
        </w:rPr>
        <w:t>In contrast, a website offering investments under Rule 506(c) can show actual investments to everyone visiting the website.</w:t>
      </w:r>
    </w:p>
    <w:p w14:paraId="2293E177" w14:textId="2652D5BB" w:rsidR="00D04181" w:rsidRPr="00E477CA" w:rsidRDefault="006208CC" w:rsidP="00E477CA">
      <w:pPr>
        <w:pStyle w:val="ListParagraph"/>
        <w:numPr>
          <w:ilvl w:val="0"/>
          <w:numId w:val="1"/>
        </w:numPr>
        <w:spacing w:after="120" w:line="240" w:lineRule="auto"/>
        <w:ind w:left="360"/>
        <w:contextualSpacing w:val="0"/>
        <w:rPr>
          <w:rFonts w:ascii="Verdana" w:hAnsi="Verdana" w:cs="Times New Roman"/>
          <w:b/>
          <w:sz w:val="24"/>
          <w:szCs w:val="24"/>
        </w:rPr>
      </w:pPr>
      <w:r w:rsidRPr="00E477CA">
        <w:rPr>
          <w:rFonts w:ascii="Verdana" w:hAnsi="Verdana" w:cs="Times New Roman"/>
          <w:b/>
          <w:sz w:val="24"/>
          <w:szCs w:val="24"/>
        </w:rPr>
        <w:t xml:space="preserve">Accredited Investor </w:t>
      </w:r>
      <w:r w:rsidR="00D04181" w:rsidRPr="00E477CA">
        <w:rPr>
          <w:rFonts w:ascii="Verdana" w:hAnsi="Verdana" w:cs="Times New Roman"/>
          <w:b/>
          <w:sz w:val="24"/>
          <w:szCs w:val="24"/>
        </w:rPr>
        <w:t>Verification</w:t>
      </w:r>
    </w:p>
    <w:p w14:paraId="52FC8CFC" w14:textId="66F64279" w:rsidR="00D04181" w:rsidRPr="00E477CA" w:rsidRDefault="00D04181" w:rsidP="00E477CA">
      <w:pPr>
        <w:spacing w:after="120" w:line="240" w:lineRule="auto"/>
        <w:jc w:val="both"/>
        <w:rPr>
          <w:rFonts w:ascii="Verdana" w:hAnsi="Verdana" w:cs="Times New Roman"/>
          <w:sz w:val="24"/>
          <w:szCs w:val="24"/>
        </w:rPr>
      </w:pPr>
      <w:r w:rsidRPr="00E477CA">
        <w:rPr>
          <w:rFonts w:ascii="Verdana" w:hAnsi="Verdana" w:cs="Times New Roman"/>
          <w:sz w:val="24"/>
          <w:szCs w:val="24"/>
        </w:rPr>
        <w:t>In a Rule 506(b) offering, the issuer may take the investor’s word that he, she, or it is accredited, unless the issuer has reason to believe the investor is lying.</w:t>
      </w:r>
      <w:r w:rsidR="006208CC" w:rsidRPr="00E477CA">
        <w:rPr>
          <w:rFonts w:ascii="Verdana" w:hAnsi="Verdana" w:cs="Times New Roman"/>
          <w:sz w:val="24"/>
          <w:szCs w:val="24"/>
        </w:rPr>
        <w:t xml:space="preserve">  </w:t>
      </w:r>
      <w:r w:rsidRPr="00E477CA">
        <w:rPr>
          <w:rFonts w:ascii="Verdana" w:hAnsi="Verdana" w:cs="Times New Roman"/>
          <w:sz w:val="24"/>
          <w:szCs w:val="24"/>
        </w:rPr>
        <w:t>In a Rule 506(c) offering, the issuer must take reasonable steps to verify that every investor is accredited. The S</w:t>
      </w:r>
      <w:r w:rsidR="006208CC" w:rsidRPr="00E477CA">
        <w:rPr>
          <w:rFonts w:ascii="Verdana" w:hAnsi="Verdana" w:cs="Times New Roman"/>
          <w:sz w:val="24"/>
          <w:szCs w:val="24"/>
        </w:rPr>
        <w:t xml:space="preserve">ecurities and Exchange Commission’s </w:t>
      </w:r>
      <w:r w:rsidRPr="00E477CA">
        <w:rPr>
          <w:rFonts w:ascii="Verdana" w:hAnsi="Verdana" w:cs="Times New Roman"/>
          <w:sz w:val="24"/>
          <w:szCs w:val="24"/>
        </w:rPr>
        <w:t>regulations allow an issuer to rely on primary documents from an investor like tax returns, brokerage statements, or W-2s, but they also allow the issuer to rely on a letter from the investor’s lawyer</w:t>
      </w:r>
      <w:r w:rsidR="00B10475" w:rsidRPr="00E477CA">
        <w:rPr>
          <w:rFonts w:ascii="Verdana" w:hAnsi="Verdana" w:cs="Times New Roman"/>
          <w:sz w:val="24"/>
          <w:szCs w:val="24"/>
        </w:rPr>
        <w:t>,</w:t>
      </w:r>
      <w:r w:rsidRPr="00E477CA">
        <w:rPr>
          <w:rFonts w:ascii="Verdana" w:hAnsi="Verdana" w:cs="Times New Roman"/>
          <w:sz w:val="24"/>
          <w:szCs w:val="24"/>
        </w:rPr>
        <w:t xml:space="preserve"> accountant</w:t>
      </w:r>
      <w:r w:rsidR="00B10475" w:rsidRPr="00E477CA">
        <w:rPr>
          <w:rFonts w:ascii="Verdana" w:hAnsi="Verdana" w:cs="Times New Roman"/>
          <w:sz w:val="24"/>
          <w:szCs w:val="24"/>
        </w:rPr>
        <w:t xml:space="preserve"> or broker</w:t>
      </w:r>
      <w:r w:rsidRPr="00E477CA">
        <w:rPr>
          <w:rFonts w:ascii="Verdana" w:hAnsi="Verdana" w:cs="Times New Roman"/>
          <w:sz w:val="24"/>
          <w:szCs w:val="24"/>
        </w:rPr>
        <w:t xml:space="preserve">. </w:t>
      </w:r>
      <w:r w:rsidR="008A433D" w:rsidRPr="00E477CA">
        <w:rPr>
          <w:rFonts w:ascii="Verdana" w:hAnsi="Verdana" w:cs="Times New Roman"/>
          <w:sz w:val="24"/>
          <w:szCs w:val="24"/>
        </w:rPr>
        <w:t>I do not recommend to my clients that they handle the verification process, but rather than they obtain a certification letter from the investor’s lawyer, accountant or broker.</w:t>
      </w:r>
      <w:r w:rsidR="00C51A9B" w:rsidRPr="00E477CA">
        <w:rPr>
          <w:rFonts w:ascii="Verdana" w:hAnsi="Verdana" w:cs="Times New Roman"/>
          <w:sz w:val="24"/>
          <w:szCs w:val="24"/>
        </w:rPr>
        <w:t xml:space="preserve">  Alternatively, issuers can use a third party service such as </w:t>
      </w:r>
      <w:r w:rsidR="00B10475" w:rsidRPr="00E477CA">
        <w:rPr>
          <w:rFonts w:ascii="Verdana" w:hAnsi="Verdana" w:cs="Times New Roman"/>
          <w:sz w:val="24"/>
          <w:szCs w:val="24"/>
        </w:rPr>
        <w:t xml:space="preserve"> </w:t>
      </w:r>
      <w:r w:rsidRPr="00E477CA">
        <w:rPr>
          <w:rFonts w:ascii="Verdana" w:hAnsi="Verdana" w:cs="Times New Roman"/>
          <w:sz w:val="24"/>
          <w:szCs w:val="24"/>
        </w:rPr>
        <w:t xml:space="preserve">VerifyInvestor. </w:t>
      </w:r>
    </w:p>
    <w:p w14:paraId="4FBF2E0A" w14:textId="77777777" w:rsidR="000B3767" w:rsidRPr="00E477CA" w:rsidRDefault="000B3767" w:rsidP="00E477CA">
      <w:pPr>
        <w:spacing w:after="120" w:line="240" w:lineRule="auto"/>
        <w:jc w:val="both"/>
        <w:rPr>
          <w:rFonts w:ascii="Verdana" w:hAnsi="Verdana" w:cs="Times New Roman"/>
          <w:sz w:val="24"/>
          <w:szCs w:val="24"/>
        </w:rPr>
      </w:pPr>
      <w:r w:rsidRPr="00E477CA">
        <w:rPr>
          <w:rFonts w:ascii="Verdana" w:hAnsi="Verdana" w:cs="Times New Roman"/>
          <w:b/>
          <w:sz w:val="24"/>
          <w:szCs w:val="24"/>
        </w:rPr>
        <w:t>About Jason Powell</w:t>
      </w:r>
    </w:p>
    <w:p w14:paraId="745610F8" w14:textId="77777777" w:rsidR="000B3767" w:rsidRPr="00E477CA" w:rsidRDefault="000B3767" w:rsidP="00E477CA">
      <w:pPr>
        <w:spacing w:after="120" w:line="240" w:lineRule="auto"/>
        <w:jc w:val="both"/>
        <w:rPr>
          <w:rFonts w:ascii="Verdana" w:hAnsi="Verdana" w:cs="Times New Roman"/>
          <w:sz w:val="24"/>
          <w:szCs w:val="24"/>
        </w:rPr>
      </w:pPr>
      <w:r w:rsidRPr="00E477CA">
        <w:rPr>
          <w:rFonts w:ascii="Verdana" w:hAnsi="Verdana" w:cs="Times New Roman"/>
          <w:sz w:val="24"/>
          <w:szCs w:val="24"/>
        </w:rPr>
        <w:t>Jason Powell is a seasoned attorney, real estate investor, author, speaker and educator. Jason is a partner at the law firm of Cara Stone, LLP.   Jason’s legal practice focuses on real estate and securities law.  Jason counsels new, emerging and established managers throughout the United States on forming and operating real estate syndications, real estate funds, mortgage pools and performing and non-performing note pools.  Jason also advises clients on all aspects of real estate including acquisition and disposition, property development, joint ventures, title review and comment, equity and debt financing and leases.   Jason is passionate about his role as a deal-maker - creating solutions to join together great people, projects and capital.</w:t>
      </w:r>
    </w:p>
    <w:p w14:paraId="2350043C" w14:textId="77777777" w:rsidR="000B3767" w:rsidRPr="00E477CA" w:rsidRDefault="000B3767" w:rsidP="00B34410">
      <w:pPr>
        <w:rPr>
          <w:rFonts w:ascii="Verdana" w:hAnsi="Verdana" w:cs="Times New Roman"/>
          <w:b/>
          <w:sz w:val="24"/>
          <w:szCs w:val="24"/>
        </w:rPr>
      </w:pPr>
    </w:p>
    <w:sectPr w:rsidR="000B3767" w:rsidRPr="00E477CA" w:rsidSect="007E2EF1">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670FE6"/>
    <w:multiLevelType w:val="hybridMultilevel"/>
    <w:tmpl w:val="A09AB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410"/>
    <w:rsid w:val="0000120B"/>
    <w:rsid w:val="000020E8"/>
    <w:rsid w:val="00003BCF"/>
    <w:rsid w:val="000046A0"/>
    <w:rsid w:val="00005F6E"/>
    <w:rsid w:val="000065D6"/>
    <w:rsid w:val="00006F1D"/>
    <w:rsid w:val="00011CA6"/>
    <w:rsid w:val="00011CDD"/>
    <w:rsid w:val="000130D1"/>
    <w:rsid w:val="0002021C"/>
    <w:rsid w:val="000241D6"/>
    <w:rsid w:val="000242D3"/>
    <w:rsid w:val="0002727C"/>
    <w:rsid w:val="0002767F"/>
    <w:rsid w:val="00032DD1"/>
    <w:rsid w:val="000336C7"/>
    <w:rsid w:val="0003446D"/>
    <w:rsid w:val="00042755"/>
    <w:rsid w:val="00044B14"/>
    <w:rsid w:val="0004600E"/>
    <w:rsid w:val="000507B0"/>
    <w:rsid w:val="0005694E"/>
    <w:rsid w:val="00066F05"/>
    <w:rsid w:val="00067583"/>
    <w:rsid w:val="000717AA"/>
    <w:rsid w:val="0007698F"/>
    <w:rsid w:val="000821DE"/>
    <w:rsid w:val="00082A9A"/>
    <w:rsid w:val="00082CEA"/>
    <w:rsid w:val="00083F58"/>
    <w:rsid w:val="00083F6D"/>
    <w:rsid w:val="00087FDC"/>
    <w:rsid w:val="0009606C"/>
    <w:rsid w:val="000A1AE3"/>
    <w:rsid w:val="000A228A"/>
    <w:rsid w:val="000A78F5"/>
    <w:rsid w:val="000A7A21"/>
    <w:rsid w:val="000B149B"/>
    <w:rsid w:val="000B3767"/>
    <w:rsid w:val="000B5961"/>
    <w:rsid w:val="000C50B2"/>
    <w:rsid w:val="000C6820"/>
    <w:rsid w:val="000C7CAE"/>
    <w:rsid w:val="000C7E98"/>
    <w:rsid w:val="000D21B4"/>
    <w:rsid w:val="000D4606"/>
    <w:rsid w:val="000D54F0"/>
    <w:rsid w:val="000D6E3D"/>
    <w:rsid w:val="000E14E0"/>
    <w:rsid w:val="000E481F"/>
    <w:rsid w:val="000E4E4F"/>
    <w:rsid w:val="000E4E82"/>
    <w:rsid w:val="000F03EA"/>
    <w:rsid w:val="000F0E4F"/>
    <w:rsid w:val="000F6D1E"/>
    <w:rsid w:val="000F796E"/>
    <w:rsid w:val="00104726"/>
    <w:rsid w:val="001074A1"/>
    <w:rsid w:val="0011221D"/>
    <w:rsid w:val="0011433A"/>
    <w:rsid w:val="00115573"/>
    <w:rsid w:val="00115DD8"/>
    <w:rsid w:val="00116026"/>
    <w:rsid w:val="00116B60"/>
    <w:rsid w:val="00121E32"/>
    <w:rsid w:val="00124338"/>
    <w:rsid w:val="00125333"/>
    <w:rsid w:val="00126A6C"/>
    <w:rsid w:val="001277DC"/>
    <w:rsid w:val="00137973"/>
    <w:rsid w:val="00155193"/>
    <w:rsid w:val="001557EA"/>
    <w:rsid w:val="00160732"/>
    <w:rsid w:val="00160CED"/>
    <w:rsid w:val="00164D24"/>
    <w:rsid w:val="001710F4"/>
    <w:rsid w:val="0017208A"/>
    <w:rsid w:val="0017735D"/>
    <w:rsid w:val="00191784"/>
    <w:rsid w:val="0019265D"/>
    <w:rsid w:val="00193174"/>
    <w:rsid w:val="00197D72"/>
    <w:rsid w:val="001A4734"/>
    <w:rsid w:val="001A7979"/>
    <w:rsid w:val="001B0C1F"/>
    <w:rsid w:val="001B0D6F"/>
    <w:rsid w:val="001B2224"/>
    <w:rsid w:val="001B542C"/>
    <w:rsid w:val="001B6B7B"/>
    <w:rsid w:val="001C0556"/>
    <w:rsid w:val="001C1C26"/>
    <w:rsid w:val="001C4947"/>
    <w:rsid w:val="001C628B"/>
    <w:rsid w:val="001D38D7"/>
    <w:rsid w:val="001D3EC3"/>
    <w:rsid w:val="001E23E8"/>
    <w:rsid w:val="001E250D"/>
    <w:rsid w:val="001E333E"/>
    <w:rsid w:val="001F10E9"/>
    <w:rsid w:val="001F454D"/>
    <w:rsid w:val="001F7D22"/>
    <w:rsid w:val="00200983"/>
    <w:rsid w:val="00202213"/>
    <w:rsid w:val="00203844"/>
    <w:rsid w:val="00207612"/>
    <w:rsid w:val="00211163"/>
    <w:rsid w:val="0021185F"/>
    <w:rsid w:val="00212613"/>
    <w:rsid w:val="00222E3F"/>
    <w:rsid w:val="002243CE"/>
    <w:rsid w:val="002269EF"/>
    <w:rsid w:val="00227BBF"/>
    <w:rsid w:val="00234D9B"/>
    <w:rsid w:val="00236325"/>
    <w:rsid w:val="002365BA"/>
    <w:rsid w:val="00240E88"/>
    <w:rsid w:val="0024115C"/>
    <w:rsid w:val="00242A1C"/>
    <w:rsid w:val="0024468D"/>
    <w:rsid w:val="00250ED4"/>
    <w:rsid w:val="00251984"/>
    <w:rsid w:val="0025231D"/>
    <w:rsid w:val="002527A1"/>
    <w:rsid w:val="002533F0"/>
    <w:rsid w:val="00253EFD"/>
    <w:rsid w:val="002549CA"/>
    <w:rsid w:val="00257047"/>
    <w:rsid w:val="0026094B"/>
    <w:rsid w:val="0026568F"/>
    <w:rsid w:val="00281327"/>
    <w:rsid w:val="00281D3C"/>
    <w:rsid w:val="002820B7"/>
    <w:rsid w:val="002848E3"/>
    <w:rsid w:val="00290C13"/>
    <w:rsid w:val="002942CC"/>
    <w:rsid w:val="00296705"/>
    <w:rsid w:val="002A0997"/>
    <w:rsid w:val="002A35DF"/>
    <w:rsid w:val="002A58BC"/>
    <w:rsid w:val="002A5E6E"/>
    <w:rsid w:val="002A5EF1"/>
    <w:rsid w:val="002B0729"/>
    <w:rsid w:val="002B14A2"/>
    <w:rsid w:val="002B4B69"/>
    <w:rsid w:val="002B5994"/>
    <w:rsid w:val="002B6FDF"/>
    <w:rsid w:val="002C12CF"/>
    <w:rsid w:val="002C34AE"/>
    <w:rsid w:val="002C66BE"/>
    <w:rsid w:val="002D0694"/>
    <w:rsid w:val="002D0B83"/>
    <w:rsid w:val="002D0D05"/>
    <w:rsid w:val="002D2240"/>
    <w:rsid w:val="002E117A"/>
    <w:rsid w:val="002E1BCC"/>
    <w:rsid w:val="002E3F62"/>
    <w:rsid w:val="002E630A"/>
    <w:rsid w:val="002F0233"/>
    <w:rsid w:val="002F6799"/>
    <w:rsid w:val="002F6D52"/>
    <w:rsid w:val="002F768B"/>
    <w:rsid w:val="00300758"/>
    <w:rsid w:val="003015F7"/>
    <w:rsid w:val="00301B4F"/>
    <w:rsid w:val="00310576"/>
    <w:rsid w:val="00314207"/>
    <w:rsid w:val="00315A33"/>
    <w:rsid w:val="00324335"/>
    <w:rsid w:val="00324433"/>
    <w:rsid w:val="00324CD2"/>
    <w:rsid w:val="00326976"/>
    <w:rsid w:val="00326F1E"/>
    <w:rsid w:val="00327AF2"/>
    <w:rsid w:val="00342628"/>
    <w:rsid w:val="0034420E"/>
    <w:rsid w:val="00344ADB"/>
    <w:rsid w:val="00352F18"/>
    <w:rsid w:val="00361542"/>
    <w:rsid w:val="0036362B"/>
    <w:rsid w:val="003675CC"/>
    <w:rsid w:val="003711CF"/>
    <w:rsid w:val="003768AF"/>
    <w:rsid w:val="00376E15"/>
    <w:rsid w:val="00381A4E"/>
    <w:rsid w:val="00382D38"/>
    <w:rsid w:val="0039657A"/>
    <w:rsid w:val="003976AF"/>
    <w:rsid w:val="003A1553"/>
    <w:rsid w:val="003A2789"/>
    <w:rsid w:val="003A280E"/>
    <w:rsid w:val="003A6D11"/>
    <w:rsid w:val="003B07D7"/>
    <w:rsid w:val="003B177D"/>
    <w:rsid w:val="003B4AC7"/>
    <w:rsid w:val="003B6E0C"/>
    <w:rsid w:val="003B725E"/>
    <w:rsid w:val="003C180E"/>
    <w:rsid w:val="003C3143"/>
    <w:rsid w:val="003C4536"/>
    <w:rsid w:val="003D0F93"/>
    <w:rsid w:val="003D40E1"/>
    <w:rsid w:val="003D6072"/>
    <w:rsid w:val="003E291C"/>
    <w:rsid w:val="003E3B6C"/>
    <w:rsid w:val="003F31BD"/>
    <w:rsid w:val="003F3654"/>
    <w:rsid w:val="00410470"/>
    <w:rsid w:val="00411A04"/>
    <w:rsid w:val="00413F10"/>
    <w:rsid w:val="00415A7D"/>
    <w:rsid w:val="00416E64"/>
    <w:rsid w:val="00416F73"/>
    <w:rsid w:val="004236C4"/>
    <w:rsid w:val="00425011"/>
    <w:rsid w:val="0042681B"/>
    <w:rsid w:val="004344FD"/>
    <w:rsid w:val="00446D23"/>
    <w:rsid w:val="004500E0"/>
    <w:rsid w:val="00451EDE"/>
    <w:rsid w:val="0045791C"/>
    <w:rsid w:val="00462A14"/>
    <w:rsid w:val="00466BA8"/>
    <w:rsid w:val="00470B2D"/>
    <w:rsid w:val="00472278"/>
    <w:rsid w:val="0047316C"/>
    <w:rsid w:val="00473248"/>
    <w:rsid w:val="004747C9"/>
    <w:rsid w:val="00474844"/>
    <w:rsid w:val="00476175"/>
    <w:rsid w:val="00476CDF"/>
    <w:rsid w:val="00477A23"/>
    <w:rsid w:val="00480F8A"/>
    <w:rsid w:val="00482247"/>
    <w:rsid w:val="00482387"/>
    <w:rsid w:val="00485D88"/>
    <w:rsid w:val="00486797"/>
    <w:rsid w:val="004876D0"/>
    <w:rsid w:val="004A1AB4"/>
    <w:rsid w:val="004A3492"/>
    <w:rsid w:val="004A4717"/>
    <w:rsid w:val="004A4F21"/>
    <w:rsid w:val="004A6590"/>
    <w:rsid w:val="004A6946"/>
    <w:rsid w:val="004B11A2"/>
    <w:rsid w:val="004B181A"/>
    <w:rsid w:val="004B294E"/>
    <w:rsid w:val="004B2993"/>
    <w:rsid w:val="004B2BE3"/>
    <w:rsid w:val="004B3769"/>
    <w:rsid w:val="004B3A42"/>
    <w:rsid w:val="004B5416"/>
    <w:rsid w:val="004C0C04"/>
    <w:rsid w:val="004C43CE"/>
    <w:rsid w:val="004C5DC9"/>
    <w:rsid w:val="004D6BF4"/>
    <w:rsid w:val="004D6D70"/>
    <w:rsid w:val="004D7E26"/>
    <w:rsid w:val="004E7C39"/>
    <w:rsid w:val="004F13CA"/>
    <w:rsid w:val="004F3006"/>
    <w:rsid w:val="004F3F15"/>
    <w:rsid w:val="004F49E4"/>
    <w:rsid w:val="00500E74"/>
    <w:rsid w:val="00503288"/>
    <w:rsid w:val="005037F3"/>
    <w:rsid w:val="00504085"/>
    <w:rsid w:val="00505347"/>
    <w:rsid w:val="005063B6"/>
    <w:rsid w:val="00510C83"/>
    <w:rsid w:val="005118D7"/>
    <w:rsid w:val="0051314C"/>
    <w:rsid w:val="005133F6"/>
    <w:rsid w:val="0051700E"/>
    <w:rsid w:val="00523C5B"/>
    <w:rsid w:val="00525208"/>
    <w:rsid w:val="00525B02"/>
    <w:rsid w:val="00530B47"/>
    <w:rsid w:val="00531265"/>
    <w:rsid w:val="00541AF1"/>
    <w:rsid w:val="0054353F"/>
    <w:rsid w:val="005464E6"/>
    <w:rsid w:val="005520E0"/>
    <w:rsid w:val="00553471"/>
    <w:rsid w:val="005606DB"/>
    <w:rsid w:val="00562C75"/>
    <w:rsid w:val="00566D7C"/>
    <w:rsid w:val="00566EBC"/>
    <w:rsid w:val="005705F3"/>
    <w:rsid w:val="00574BB5"/>
    <w:rsid w:val="005819F5"/>
    <w:rsid w:val="00581F9D"/>
    <w:rsid w:val="00592787"/>
    <w:rsid w:val="005A1B37"/>
    <w:rsid w:val="005A2A5B"/>
    <w:rsid w:val="005A4B12"/>
    <w:rsid w:val="005C35AD"/>
    <w:rsid w:val="005D02B3"/>
    <w:rsid w:val="005D4B83"/>
    <w:rsid w:val="005D5C2F"/>
    <w:rsid w:val="005D7D08"/>
    <w:rsid w:val="005E0AC1"/>
    <w:rsid w:val="005E3940"/>
    <w:rsid w:val="005E75F1"/>
    <w:rsid w:val="005F19EA"/>
    <w:rsid w:val="005F27FF"/>
    <w:rsid w:val="005F3F88"/>
    <w:rsid w:val="005F5B51"/>
    <w:rsid w:val="005F6BB7"/>
    <w:rsid w:val="0060131C"/>
    <w:rsid w:val="00602F62"/>
    <w:rsid w:val="00603754"/>
    <w:rsid w:val="006208CC"/>
    <w:rsid w:val="00622709"/>
    <w:rsid w:val="006255BA"/>
    <w:rsid w:val="00626128"/>
    <w:rsid w:val="0062646C"/>
    <w:rsid w:val="006273BA"/>
    <w:rsid w:val="0062743B"/>
    <w:rsid w:val="00627E60"/>
    <w:rsid w:val="006308FF"/>
    <w:rsid w:val="00635C9B"/>
    <w:rsid w:val="00640692"/>
    <w:rsid w:val="0064149C"/>
    <w:rsid w:val="00644DF6"/>
    <w:rsid w:val="006454A1"/>
    <w:rsid w:val="00645723"/>
    <w:rsid w:val="00650129"/>
    <w:rsid w:val="00651206"/>
    <w:rsid w:val="00657C04"/>
    <w:rsid w:val="00660EDF"/>
    <w:rsid w:val="00662AF8"/>
    <w:rsid w:val="00663769"/>
    <w:rsid w:val="00666200"/>
    <w:rsid w:val="00673D24"/>
    <w:rsid w:val="006800A7"/>
    <w:rsid w:val="00682654"/>
    <w:rsid w:val="00683868"/>
    <w:rsid w:val="006869EC"/>
    <w:rsid w:val="00690EE4"/>
    <w:rsid w:val="006B5F7F"/>
    <w:rsid w:val="006C4C5B"/>
    <w:rsid w:val="006C5C23"/>
    <w:rsid w:val="006C705A"/>
    <w:rsid w:val="006D0804"/>
    <w:rsid w:val="006D1C33"/>
    <w:rsid w:val="006D2F63"/>
    <w:rsid w:val="006D6FA6"/>
    <w:rsid w:val="00704189"/>
    <w:rsid w:val="00705EBE"/>
    <w:rsid w:val="007067E9"/>
    <w:rsid w:val="00707A44"/>
    <w:rsid w:val="00707CEE"/>
    <w:rsid w:val="0071622F"/>
    <w:rsid w:val="00720F40"/>
    <w:rsid w:val="007212BE"/>
    <w:rsid w:val="00733415"/>
    <w:rsid w:val="00735023"/>
    <w:rsid w:val="00737114"/>
    <w:rsid w:val="0073729A"/>
    <w:rsid w:val="007403CF"/>
    <w:rsid w:val="00742699"/>
    <w:rsid w:val="00745EF3"/>
    <w:rsid w:val="00754354"/>
    <w:rsid w:val="00756C9C"/>
    <w:rsid w:val="0076479D"/>
    <w:rsid w:val="007654CE"/>
    <w:rsid w:val="00765D7E"/>
    <w:rsid w:val="00765FA6"/>
    <w:rsid w:val="00766E45"/>
    <w:rsid w:val="00784E0F"/>
    <w:rsid w:val="007A074A"/>
    <w:rsid w:val="007A0F76"/>
    <w:rsid w:val="007A0F87"/>
    <w:rsid w:val="007A384C"/>
    <w:rsid w:val="007A45DB"/>
    <w:rsid w:val="007A4B03"/>
    <w:rsid w:val="007A6926"/>
    <w:rsid w:val="007B73DD"/>
    <w:rsid w:val="007C488A"/>
    <w:rsid w:val="007C7279"/>
    <w:rsid w:val="007D3F39"/>
    <w:rsid w:val="007D3FB8"/>
    <w:rsid w:val="007D5999"/>
    <w:rsid w:val="007D788D"/>
    <w:rsid w:val="007E2EF1"/>
    <w:rsid w:val="007E582F"/>
    <w:rsid w:val="007F54A4"/>
    <w:rsid w:val="007F7A87"/>
    <w:rsid w:val="008024FB"/>
    <w:rsid w:val="00811B33"/>
    <w:rsid w:val="008122BB"/>
    <w:rsid w:val="008158B5"/>
    <w:rsid w:val="00820824"/>
    <w:rsid w:val="00824DE9"/>
    <w:rsid w:val="00826730"/>
    <w:rsid w:val="00830937"/>
    <w:rsid w:val="00830EE1"/>
    <w:rsid w:val="008325C5"/>
    <w:rsid w:val="00835567"/>
    <w:rsid w:val="00835D46"/>
    <w:rsid w:val="008362A6"/>
    <w:rsid w:val="00837D69"/>
    <w:rsid w:val="008502D3"/>
    <w:rsid w:val="0085526F"/>
    <w:rsid w:val="00862E6F"/>
    <w:rsid w:val="00864B23"/>
    <w:rsid w:val="0086668A"/>
    <w:rsid w:val="00867E2E"/>
    <w:rsid w:val="00881976"/>
    <w:rsid w:val="008869EC"/>
    <w:rsid w:val="0088712B"/>
    <w:rsid w:val="00894FC4"/>
    <w:rsid w:val="008953D6"/>
    <w:rsid w:val="0089610E"/>
    <w:rsid w:val="00897FAA"/>
    <w:rsid w:val="008A433D"/>
    <w:rsid w:val="008A5A09"/>
    <w:rsid w:val="008B29E2"/>
    <w:rsid w:val="008C1EB0"/>
    <w:rsid w:val="008D1B89"/>
    <w:rsid w:val="008D5C1E"/>
    <w:rsid w:val="008D6CDA"/>
    <w:rsid w:val="008D7C30"/>
    <w:rsid w:val="008D7CCA"/>
    <w:rsid w:val="008E1691"/>
    <w:rsid w:val="008E440A"/>
    <w:rsid w:val="008E4F61"/>
    <w:rsid w:val="008E5C3A"/>
    <w:rsid w:val="008E7C83"/>
    <w:rsid w:val="008F2DDC"/>
    <w:rsid w:val="008F45C3"/>
    <w:rsid w:val="008F5586"/>
    <w:rsid w:val="008F5AA4"/>
    <w:rsid w:val="008F5C0A"/>
    <w:rsid w:val="0090103D"/>
    <w:rsid w:val="00901DE4"/>
    <w:rsid w:val="00903427"/>
    <w:rsid w:val="00916ADB"/>
    <w:rsid w:val="00920250"/>
    <w:rsid w:val="00922417"/>
    <w:rsid w:val="00925975"/>
    <w:rsid w:val="00930989"/>
    <w:rsid w:val="0093589A"/>
    <w:rsid w:val="00941305"/>
    <w:rsid w:val="009465CA"/>
    <w:rsid w:val="00950797"/>
    <w:rsid w:val="00951ACF"/>
    <w:rsid w:val="009536E4"/>
    <w:rsid w:val="00954A3F"/>
    <w:rsid w:val="0095566E"/>
    <w:rsid w:val="009610F2"/>
    <w:rsid w:val="0096150C"/>
    <w:rsid w:val="00962922"/>
    <w:rsid w:val="0096374E"/>
    <w:rsid w:val="00963FFE"/>
    <w:rsid w:val="00971304"/>
    <w:rsid w:val="009715B5"/>
    <w:rsid w:val="00974745"/>
    <w:rsid w:val="00974B69"/>
    <w:rsid w:val="009758D3"/>
    <w:rsid w:val="0098550C"/>
    <w:rsid w:val="00987323"/>
    <w:rsid w:val="00987DD0"/>
    <w:rsid w:val="00990ED4"/>
    <w:rsid w:val="009927A4"/>
    <w:rsid w:val="00992EB0"/>
    <w:rsid w:val="00992EB7"/>
    <w:rsid w:val="00995312"/>
    <w:rsid w:val="009A1263"/>
    <w:rsid w:val="009A3FB0"/>
    <w:rsid w:val="009A4CF3"/>
    <w:rsid w:val="009B029C"/>
    <w:rsid w:val="009B3B67"/>
    <w:rsid w:val="009B5757"/>
    <w:rsid w:val="009B5A4E"/>
    <w:rsid w:val="009C002B"/>
    <w:rsid w:val="009C38A0"/>
    <w:rsid w:val="009C53EF"/>
    <w:rsid w:val="009C70D8"/>
    <w:rsid w:val="009D42BB"/>
    <w:rsid w:val="009D4389"/>
    <w:rsid w:val="009D4F94"/>
    <w:rsid w:val="009E0960"/>
    <w:rsid w:val="009E2E99"/>
    <w:rsid w:val="009E7435"/>
    <w:rsid w:val="009F2A8F"/>
    <w:rsid w:val="009F4282"/>
    <w:rsid w:val="00A002BB"/>
    <w:rsid w:val="00A1218B"/>
    <w:rsid w:val="00A2068F"/>
    <w:rsid w:val="00A21606"/>
    <w:rsid w:val="00A22500"/>
    <w:rsid w:val="00A238C9"/>
    <w:rsid w:val="00A32EA8"/>
    <w:rsid w:val="00A35471"/>
    <w:rsid w:val="00A37215"/>
    <w:rsid w:val="00A41B88"/>
    <w:rsid w:val="00A41D9C"/>
    <w:rsid w:val="00A42925"/>
    <w:rsid w:val="00A42DB5"/>
    <w:rsid w:val="00A43545"/>
    <w:rsid w:val="00A43F51"/>
    <w:rsid w:val="00A441EE"/>
    <w:rsid w:val="00A466D6"/>
    <w:rsid w:val="00A55E1B"/>
    <w:rsid w:val="00A56F9F"/>
    <w:rsid w:val="00A609A0"/>
    <w:rsid w:val="00A60C97"/>
    <w:rsid w:val="00A63E7E"/>
    <w:rsid w:val="00A7167F"/>
    <w:rsid w:val="00A80BD9"/>
    <w:rsid w:val="00A829EA"/>
    <w:rsid w:val="00A86A12"/>
    <w:rsid w:val="00A9372A"/>
    <w:rsid w:val="00A9592A"/>
    <w:rsid w:val="00A95E53"/>
    <w:rsid w:val="00A96C42"/>
    <w:rsid w:val="00AA52CA"/>
    <w:rsid w:val="00AB0209"/>
    <w:rsid w:val="00AB05D6"/>
    <w:rsid w:val="00AB16E6"/>
    <w:rsid w:val="00AB5C08"/>
    <w:rsid w:val="00AB6DCF"/>
    <w:rsid w:val="00AC24FF"/>
    <w:rsid w:val="00AC4B33"/>
    <w:rsid w:val="00AC7FE0"/>
    <w:rsid w:val="00AD2E2A"/>
    <w:rsid w:val="00AE0BE7"/>
    <w:rsid w:val="00AE6071"/>
    <w:rsid w:val="00AE66E1"/>
    <w:rsid w:val="00AF1938"/>
    <w:rsid w:val="00AF1AC7"/>
    <w:rsid w:val="00AF1E8A"/>
    <w:rsid w:val="00AF2C15"/>
    <w:rsid w:val="00AF45D8"/>
    <w:rsid w:val="00AF4601"/>
    <w:rsid w:val="00AF559D"/>
    <w:rsid w:val="00AF69DB"/>
    <w:rsid w:val="00B00766"/>
    <w:rsid w:val="00B00A6B"/>
    <w:rsid w:val="00B10475"/>
    <w:rsid w:val="00B10D55"/>
    <w:rsid w:val="00B11C90"/>
    <w:rsid w:val="00B137F3"/>
    <w:rsid w:val="00B14DBA"/>
    <w:rsid w:val="00B154D3"/>
    <w:rsid w:val="00B15F34"/>
    <w:rsid w:val="00B203CF"/>
    <w:rsid w:val="00B216BA"/>
    <w:rsid w:val="00B25333"/>
    <w:rsid w:val="00B26C9F"/>
    <w:rsid w:val="00B308CD"/>
    <w:rsid w:val="00B34410"/>
    <w:rsid w:val="00B36E66"/>
    <w:rsid w:val="00B41B9B"/>
    <w:rsid w:val="00B437D6"/>
    <w:rsid w:val="00B453B6"/>
    <w:rsid w:val="00B479F9"/>
    <w:rsid w:val="00B47C32"/>
    <w:rsid w:val="00B52FA7"/>
    <w:rsid w:val="00B56CA7"/>
    <w:rsid w:val="00B6052B"/>
    <w:rsid w:val="00B61E4F"/>
    <w:rsid w:val="00B6290B"/>
    <w:rsid w:val="00B64469"/>
    <w:rsid w:val="00B64867"/>
    <w:rsid w:val="00B64884"/>
    <w:rsid w:val="00B64F8A"/>
    <w:rsid w:val="00B701DD"/>
    <w:rsid w:val="00B73F7C"/>
    <w:rsid w:val="00B75AE3"/>
    <w:rsid w:val="00B75CE7"/>
    <w:rsid w:val="00B77C02"/>
    <w:rsid w:val="00B81167"/>
    <w:rsid w:val="00B82F3D"/>
    <w:rsid w:val="00B92EA6"/>
    <w:rsid w:val="00B93DB7"/>
    <w:rsid w:val="00B971A2"/>
    <w:rsid w:val="00BA0DC3"/>
    <w:rsid w:val="00BA0EC8"/>
    <w:rsid w:val="00BA126B"/>
    <w:rsid w:val="00BA510E"/>
    <w:rsid w:val="00BA7F78"/>
    <w:rsid w:val="00BB1BA1"/>
    <w:rsid w:val="00BB2A8D"/>
    <w:rsid w:val="00BB4D13"/>
    <w:rsid w:val="00BB4DE6"/>
    <w:rsid w:val="00BB7D80"/>
    <w:rsid w:val="00BC0194"/>
    <w:rsid w:val="00BC11C3"/>
    <w:rsid w:val="00BC156F"/>
    <w:rsid w:val="00BC60FB"/>
    <w:rsid w:val="00BC717F"/>
    <w:rsid w:val="00BD1702"/>
    <w:rsid w:val="00BD7955"/>
    <w:rsid w:val="00BD7D9E"/>
    <w:rsid w:val="00BE0DBB"/>
    <w:rsid w:val="00BE1584"/>
    <w:rsid w:val="00BE3BE3"/>
    <w:rsid w:val="00BF0E28"/>
    <w:rsid w:val="00BF1E90"/>
    <w:rsid w:val="00BF3665"/>
    <w:rsid w:val="00BF4E46"/>
    <w:rsid w:val="00BF5649"/>
    <w:rsid w:val="00C00691"/>
    <w:rsid w:val="00C02E36"/>
    <w:rsid w:val="00C147CD"/>
    <w:rsid w:val="00C15767"/>
    <w:rsid w:val="00C15FFB"/>
    <w:rsid w:val="00C21168"/>
    <w:rsid w:val="00C22F42"/>
    <w:rsid w:val="00C244CF"/>
    <w:rsid w:val="00C2488D"/>
    <w:rsid w:val="00C27B80"/>
    <w:rsid w:val="00C328A7"/>
    <w:rsid w:val="00C35E90"/>
    <w:rsid w:val="00C361CC"/>
    <w:rsid w:val="00C36A10"/>
    <w:rsid w:val="00C36AA7"/>
    <w:rsid w:val="00C41754"/>
    <w:rsid w:val="00C421C7"/>
    <w:rsid w:val="00C46352"/>
    <w:rsid w:val="00C51A9B"/>
    <w:rsid w:val="00C62069"/>
    <w:rsid w:val="00C67269"/>
    <w:rsid w:val="00C675D2"/>
    <w:rsid w:val="00C675DA"/>
    <w:rsid w:val="00C67E79"/>
    <w:rsid w:val="00C70278"/>
    <w:rsid w:val="00C72954"/>
    <w:rsid w:val="00C72F96"/>
    <w:rsid w:val="00C74112"/>
    <w:rsid w:val="00C76A11"/>
    <w:rsid w:val="00C76BBA"/>
    <w:rsid w:val="00C87ED2"/>
    <w:rsid w:val="00C952F1"/>
    <w:rsid w:val="00C97B51"/>
    <w:rsid w:val="00CA18C7"/>
    <w:rsid w:val="00CA30BF"/>
    <w:rsid w:val="00CA754F"/>
    <w:rsid w:val="00CA768F"/>
    <w:rsid w:val="00CB491C"/>
    <w:rsid w:val="00CB5845"/>
    <w:rsid w:val="00CC3D4F"/>
    <w:rsid w:val="00CC67B2"/>
    <w:rsid w:val="00CD1069"/>
    <w:rsid w:val="00CE1FEC"/>
    <w:rsid w:val="00CE3395"/>
    <w:rsid w:val="00CE3CD4"/>
    <w:rsid w:val="00CE6443"/>
    <w:rsid w:val="00CE67AD"/>
    <w:rsid w:val="00CF04AD"/>
    <w:rsid w:val="00CF209D"/>
    <w:rsid w:val="00D03F48"/>
    <w:rsid w:val="00D04181"/>
    <w:rsid w:val="00D05E28"/>
    <w:rsid w:val="00D065BE"/>
    <w:rsid w:val="00D10B04"/>
    <w:rsid w:val="00D118FC"/>
    <w:rsid w:val="00D12D83"/>
    <w:rsid w:val="00D135D0"/>
    <w:rsid w:val="00D21789"/>
    <w:rsid w:val="00D300EE"/>
    <w:rsid w:val="00D357FD"/>
    <w:rsid w:val="00D35C28"/>
    <w:rsid w:val="00D3602A"/>
    <w:rsid w:val="00D371E6"/>
    <w:rsid w:val="00D43E51"/>
    <w:rsid w:val="00D44A50"/>
    <w:rsid w:val="00D4580E"/>
    <w:rsid w:val="00D45ECB"/>
    <w:rsid w:val="00D501BD"/>
    <w:rsid w:val="00D50405"/>
    <w:rsid w:val="00D5155D"/>
    <w:rsid w:val="00D534FE"/>
    <w:rsid w:val="00D64134"/>
    <w:rsid w:val="00D65725"/>
    <w:rsid w:val="00D71D73"/>
    <w:rsid w:val="00D731E7"/>
    <w:rsid w:val="00D768CD"/>
    <w:rsid w:val="00D8106A"/>
    <w:rsid w:val="00D81EFC"/>
    <w:rsid w:val="00D82FAD"/>
    <w:rsid w:val="00D84513"/>
    <w:rsid w:val="00D84553"/>
    <w:rsid w:val="00D84915"/>
    <w:rsid w:val="00D8517D"/>
    <w:rsid w:val="00D92E68"/>
    <w:rsid w:val="00D93254"/>
    <w:rsid w:val="00D93432"/>
    <w:rsid w:val="00D972D1"/>
    <w:rsid w:val="00DA05AC"/>
    <w:rsid w:val="00DA26F2"/>
    <w:rsid w:val="00DA2950"/>
    <w:rsid w:val="00DA4030"/>
    <w:rsid w:val="00DA4F7F"/>
    <w:rsid w:val="00DA558C"/>
    <w:rsid w:val="00DA73C3"/>
    <w:rsid w:val="00DA7A0E"/>
    <w:rsid w:val="00DB11FE"/>
    <w:rsid w:val="00DB274A"/>
    <w:rsid w:val="00DB7A5F"/>
    <w:rsid w:val="00DB7F01"/>
    <w:rsid w:val="00DD2E5A"/>
    <w:rsid w:val="00DD6121"/>
    <w:rsid w:val="00DE14E7"/>
    <w:rsid w:val="00DE4189"/>
    <w:rsid w:val="00DE4DF6"/>
    <w:rsid w:val="00DE52FC"/>
    <w:rsid w:val="00DE7A53"/>
    <w:rsid w:val="00DF0E2F"/>
    <w:rsid w:val="00DF298A"/>
    <w:rsid w:val="00DF37C6"/>
    <w:rsid w:val="00DF77BC"/>
    <w:rsid w:val="00E01AB5"/>
    <w:rsid w:val="00E04203"/>
    <w:rsid w:val="00E05F21"/>
    <w:rsid w:val="00E11EA0"/>
    <w:rsid w:val="00E17AF8"/>
    <w:rsid w:val="00E224C6"/>
    <w:rsid w:val="00E27C7B"/>
    <w:rsid w:val="00E27D3C"/>
    <w:rsid w:val="00E35BE5"/>
    <w:rsid w:val="00E37310"/>
    <w:rsid w:val="00E44E01"/>
    <w:rsid w:val="00E46290"/>
    <w:rsid w:val="00E46A01"/>
    <w:rsid w:val="00E477CA"/>
    <w:rsid w:val="00E47D80"/>
    <w:rsid w:val="00E51866"/>
    <w:rsid w:val="00E52C14"/>
    <w:rsid w:val="00E53AC2"/>
    <w:rsid w:val="00E671FE"/>
    <w:rsid w:val="00E7043B"/>
    <w:rsid w:val="00E72745"/>
    <w:rsid w:val="00E73B50"/>
    <w:rsid w:val="00E74392"/>
    <w:rsid w:val="00E74DDB"/>
    <w:rsid w:val="00E7572E"/>
    <w:rsid w:val="00E7649E"/>
    <w:rsid w:val="00E858E1"/>
    <w:rsid w:val="00E86102"/>
    <w:rsid w:val="00E86662"/>
    <w:rsid w:val="00E8666F"/>
    <w:rsid w:val="00E91C42"/>
    <w:rsid w:val="00E930B1"/>
    <w:rsid w:val="00EA076B"/>
    <w:rsid w:val="00EA37FF"/>
    <w:rsid w:val="00EA3FE5"/>
    <w:rsid w:val="00EA4AC7"/>
    <w:rsid w:val="00EA5D97"/>
    <w:rsid w:val="00EB4F39"/>
    <w:rsid w:val="00EC043B"/>
    <w:rsid w:val="00EC0BAF"/>
    <w:rsid w:val="00EC6F1A"/>
    <w:rsid w:val="00ED2094"/>
    <w:rsid w:val="00ED325C"/>
    <w:rsid w:val="00ED4867"/>
    <w:rsid w:val="00ED77A3"/>
    <w:rsid w:val="00EE2DA6"/>
    <w:rsid w:val="00EE3C8E"/>
    <w:rsid w:val="00EE49A9"/>
    <w:rsid w:val="00EE584D"/>
    <w:rsid w:val="00F00D65"/>
    <w:rsid w:val="00F05504"/>
    <w:rsid w:val="00F058AD"/>
    <w:rsid w:val="00F05B00"/>
    <w:rsid w:val="00F074D7"/>
    <w:rsid w:val="00F11D16"/>
    <w:rsid w:val="00F20917"/>
    <w:rsid w:val="00F21346"/>
    <w:rsid w:val="00F25663"/>
    <w:rsid w:val="00F2641D"/>
    <w:rsid w:val="00F2661F"/>
    <w:rsid w:val="00F27154"/>
    <w:rsid w:val="00F27CCD"/>
    <w:rsid w:val="00F36F3B"/>
    <w:rsid w:val="00F41BD2"/>
    <w:rsid w:val="00F43F4B"/>
    <w:rsid w:val="00F44E17"/>
    <w:rsid w:val="00F50FF8"/>
    <w:rsid w:val="00F6117C"/>
    <w:rsid w:val="00F62CE5"/>
    <w:rsid w:val="00F643F9"/>
    <w:rsid w:val="00F655E6"/>
    <w:rsid w:val="00F662A1"/>
    <w:rsid w:val="00F715B5"/>
    <w:rsid w:val="00F722C9"/>
    <w:rsid w:val="00F73150"/>
    <w:rsid w:val="00F80EC8"/>
    <w:rsid w:val="00F8222F"/>
    <w:rsid w:val="00F826DD"/>
    <w:rsid w:val="00F837BC"/>
    <w:rsid w:val="00F8573B"/>
    <w:rsid w:val="00F87AA6"/>
    <w:rsid w:val="00F90846"/>
    <w:rsid w:val="00F90870"/>
    <w:rsid w:val="00F95686"/>
    <w:rsid w:val="00F96638"/>
    <w:rsid w:val="00FA429A"/>
    <w:rsid w:val="00FA4501"/>
    <w:rsid w:val="00FA6A0F"/>
    <w:rsid w:val="00FB07ED"/>
    <w:rsid w:val="00FB1501"/>
    <w:rsid w:val="00FB1645"/>
    <w:rsid w:val="00FB5447"/>
    <w:rsid w:val="00FB5F70"/>
    <w:rsid w:val="00FB66FB"/>
    <w:rsid w:val="00FC13F9"/>
    <w:rsid w:val="00FD3226"/>
    <w:rsid w:val="00FE0F35"/>
    <w:rsid w:val="00FE11FB"/>
    <w:rsid w:val="00FE120D"/>
    <w:rsid w:val="00FE1C36"/>
    <w:rsid w:val="00FE4940"/>
    <w:rsid w:val="00FE7771"/>
    <w:rsid w:val="00FF1510"/>
    <w:rsid w:val="00FF1931"/>
    <w:rsid w:val="00FF34E0"/>
    <w:rsid w:val="00FF5FF5"/>
    <w:rsid w:val="00FF61F9"/>
    <w:rsid w:val="00FF6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F9C7A36"/>
  <w15:docId w15:val="{678DFE40-A78D-4ED1-9BDE-564CA9E76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4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41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978</Words>
  <Characters>5576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M. Powell</dc:creator>
  <cp:lastModifiedBy>mls</cp:lastModifiedBy>
  <cp:revision>3</cp:revision>
  <dcterms:created xsi:type="dcterms:W3CDTF">2020-03-06T18:43:00Z</dcterms:created>
  <dcterms:modified xsi:type="dcterms:W3CDTF">2020-03-12T15:46:00Z</dcterms:modified>
</cp:coreProperties>
</file>